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762E8" w14:textId="4D01EB9B" w:rsidR="0072350C" w:rsidRPr="00812550" w:rsidRDefault="001132E4" w:rsidP="00232852">
      <w:pPr>
        <w:pStyle w:val="Title"/>
        <w:rPr>
          <w:rFonts w:ascii="Arial" w:hAnsi="Arial" w:cs="Arial"/>
          <w:sz w:val="20"/>
        </w:rPr>
      </w:pPr>
      <w:r>
        <w:rPr>
          <w:rFonts w:ascii="Arial" w:hAnsi="Arial" w:cs="Arial"/>
          <w:sz w:val="40"/>
        </w:rPr>
        <w:t xml:space="preserve">A brief guide on Disability, </w:t>
      </w:r>
      <w:r w:rsidR="002E0F7F">
        <w:rPr>
          <w:rFonts w:ascii="Arial" w:hAnsi="Arial" w:cs="Arial"/>
          <w:sz w:val="40"/>
        </w:rPr>
        <w:t xml:space="preserve">Inclusive Teaching, </w:t>
      </w:r>
      <w:r w:rsidR="004F1068" w:rsidRPr="00812550">
        <w:rPr>
          <w:rFonts w:ascii="Arial" w:hAnsi="Arial" w:cs="Arial"/>
          <w:sz w:val="40"/>
        </w:rPr>
        <w:t>Learning</w:t>
      </w:r>
      <w:r>
        <w:rPr>
          <w:rFonts w:ascii="Arial" w:hAnsi="Arial" w:cs="Arial"/>
          <w:sz w:val="40"/>
        </w:rPr>
        <w:t xml:space="preserve"> &amp; </w:t>
      </w:r>
      <w:r w:rsidR="002E0F7F">
        <w:rPr>
          <w:rFonts w:ascii="Arial" w:hAnsi="Arial" w:cs="Arial"/>
          <w:sz w:val="40"/>
        </w:rPr>
        <w:t xml:space="preserve">Assessment and </w:t>
      </w:r>
      <w:r w:rsidRPr="001132E4">
        <w:rPr>
          <w:rFonts w:ascii="Arial" w:hAnsi="Arial" w:cs="Arial"/>
          <w:sz w:val="40"/>
        </w:rPr>
        <w:t>Reasonable Adjustments</w:t>
      </w:r>
    </w:p>
    <w:p w14:paraId="169A57AB" w14:textId="77777777" w:rsidR="00A8215C" w:rsidRPr="00812550" w:rsidRDefault="00A8215C" w:rsidP="00232852">
      <w:pPr>
        <w:pStyle w:val="Heading1"/>
        <w:numPr>
          <w:ilvl w:val="0"/>
          <w:numId w:val="7"/>
        </w:numPr>
        <w:rPr>
          <w:rFonts w:cs="Arial"/>
        </w:rPr>
      </w:pPr>
      <w:r w:rsidRPr="00812550">
        <w:rPr>
          <w:rFonts w:cs="Arial"/>
        </w:rPr>
        <w:t>Definition of Disability</w:t>
      </w:r>
    </w:p>
    <w:p w14:paraId="3A21F87D" w14:textId="77777777" w:rsidR="00A8215C" w:rsidRPr="00D05EFE" w:rsidRDefault="00A8215C" w:rsidP="00A8215C">
      <w:pPr>
        <w:pStyle w:val="NormalWeb"/>
        <w:kinsoku w:val="0"/>
        <w:overflowPunct w:val="0"/>
        <w:spacing w:before="0" w:beforeAutospacing="0"/>
        <w:textAlignment w:val="baseline"/>
        <w:rPr>
          <w:rFonts w:ascii="Arial" w:hAnsi="Arial" w:cs="Arial"/>
          <w:szCs w:val="28"/>
        </w:rPr>
      </w:pPr>
      <w:r w:rsidRPr="00D05EFE">
        <w:rPr>
          <w:rFonts w:ascii="Arial" w:eastAsiaTheme="minorEastAsia" w:hAnsi="Arial" w:cs="Arial"/>
          <w:color w:val="000000" w:themeColor="text1"/>
          <w:szCs w:val="28"/>
          <w:lang w:val="en-US"/>
        </w:rPr>
        <w:t>The Equality Act 2010 gives the definition of disability as follows:</w:t>
      </w:r>
    </w:p>
    <w:p w14:paraId="4446A42F" w14:textId="77777777" w:rsidR="00A8215C" w:rsidRPr="00D05EFE" w:rsidRDefault="00A8215C" w:rsidP="00A8215C">
      <w:pPr>
        <w:pStyle w:val="NormalWeb"/>
        <w:kinsoku w:val="0"/>
        <w:overflowPunct w:val="0"/>
        <w:spacing w:before="0" w:beforeAutospacing="0"/>
        <w:textAlignment w:val="baseline"/>
        <w:rPr>
          <w:rFonts w:ascii="Arial" w:hAnsi="Arial" w:cs="Arial"/>
          <w:szCs w:val="28"/>
        </w:rPr>
      </w:pPr>
      <w:r w:rsidRPr="00D05EFE">
        <w:rPr>
          <w:rFonts w:ascii="Arial" w:eastAsiaTheme="minorEastAsia" w:hAnsi="Arial" w:cs="Arial"/>
          <w:b/>
          <w:bCs/>
          <w:color w:val="000E1A"/>
          <w:szCs w:val="28"/>
          <w:lang w:val="en-US"/>
        </w:rPr>
        <w:t>‘A person has a disability if they have a physical or mental impairment, and the impairment has a substantial and long-term adverse effect on his or her ability to carry out normal day-to-day activities.’</w:t>
      </w:r>
      <w:r w:rsidRPr="00D05EFE">
        <w:rPr>
          <w:rFonts w:ascii="Arial" w:eastAsiaTheme="minorEastAsia" w:hAnsi="Arial" w:cs="Arial"/>
          <w:b/>
          <w:bCs/>
          <w:i/>
          <w:iCs/>
          <w:color w:val="000000" w:themeColor="text1"/>
          <w:szCs w:val="28"/>
          <w:lang w:val="en-US"/>
        </w:rPr>
        <w:t xml:space="preserve"> </w:t>
      </w:r>
      <w:r w:rsidRPr="00D05EFE">
        <w:rPr>
          <w:rFonts w:ascii="Arial" w:eastAsiaTheme="minorEastAsia" w:hAnsi="Arial" w:cs="Arial"/>
          <w:b/>
          <w:bCs/>
          <w:color w:val="000000" w:themeColor="text1"/>
          <w:szCs w:val="28"/>
          <w:lang w:val="en-US"/>
        </w:rPr>
        <w:t>(Equality Act 2010, Section 6)</w:t>
      </w:r>
    </w:p>
    <w:p w14:paraId="65157191" w14:textId="77777777" w:rsidR="00A8215C" w:rsidRPr="00D05EFE" w:rsidRDefault="00A8215C" w:rsidP="000B424C">
      <w:pPr>
        <w:pStyle w:val="NormalWeb"/>
        <w:kinsoku w:val="0"/>
        <w:overflowPunct w:val="0"/>
        <w:spacing w:before="0" w:beforeAutospacing="0" w:after="0" w:afterAutospacing="0"/>
        <w:textAlignment w:val="baseline"/>
        <w:rPr>
          <w:rFonts w:ascii="Arial" w:hAnsi="Arial" w:cs="Arial"/>
          <w:szCs w:val="28"/>
        </w:rPr>
      </w:pPr>
      <w:r w:rsidRPr="00D05EFE">
        <w:rPr>
          <w:rFonts w:ascii="Arial" w:eastAsiaTheme="minorEastAsia" w:hAnsi="Arial" w:cs="Arial"/>
          <w:color w:val="000000" w:themeColor="text1"/>
          <w:szCs w:val="28"/>
          <w:lang w:val="en-US"/>
        </w:rPr>
        <w:t>Schedule 1 of the Equality Act 2010 provides determination of disability, stating the effect of impairment as long term if:</w:t>
      </w:r>
    </w:p>
    <w:p w14:paraId="02B2C75C" w14:textId="77777777" w:rsidR="00A8215C" w:rsidRPr="00D05EFE" w:rsidRDefault="00A8215C" w:rsidP="000B424C">
      <w:pPr>
        <w:pStyle w:val="ListParagraph"/>
        <w:numPr>
          <w:ilvl w:val="2"/>
          <w:numId w:val="2"/>
        </w:numPr>
        <w:kinsoku w:val="0"/>
        <w:overflowPunct w:val="0"/>
        <w:textAlignment w:val="baseline"/>
        <w:rPr>
          <w:rFonts w:ascii="Arial" w:hAnsi="Arial" w:cs="Arial"/>
          <w:szCs w:val="28"/>
        </w:rPr>
      </w:pPr>
      <w:r w:rsidRPr="00D05EFE">
        <w:rPr>
          <w:rFonts w:ascii="Arial" w:hAnsi="Arial" w:cs="Arial"/>
          <w:color w:val="000000" w:themeColor="text1"/>
          <w:szCs w:val="28"/>
          <w:lang w:val="en-US"/>
        </w:rPr>
        <w:t>it has lasted for at least 12 months,</w:t>
      </w:r>
    </w:p>
    <w:p w14:paraId="1F96B551" w14:textId="77777777" w:rsidR="00A8215C" w:rsidRPr="00D05EFE" w:rsidRDefault="00A8215C" w:rsidP="00A8215C">
      <w:pPr>
        <w:pStyle w:val="ListParagraph"/>
        <w:numPr>
          <w:ilvl w:val="2"/>
          <w:numId w:val="2"/>
        </w:numPr>
        <w:kinsoku w:val="0"/>
        <w:overflowPunct w:val="0"/>
        <w:spacing w:after="100" w:afterAutospacing="1"/>
        <w:textAlignment w:val="baseline"/>
        <w:rPr>
          <w:rFonts w:ascii="Arial" w:hAnsi="Arial" w:cs="Arial"/>
          <w:szCs w:val="28"/>
        </w:rPr>
      </w:pPr>
      <w:r w:rsidRPr="00D05EFE">
        <w:rPr>
          <w:rFonts w:ascii="Arial" w:hAnsi="Arial" w:cs="Arial"/>
          <w:color w:val="000000" w:themeColor="text1"/>
          <w:szCs w:val="28"/>
          <w:lang w:val="en-US"/>
        </w:rPr>
        <w:t>it is likely to last for at least 12 months, or</w:t>
      </w:r>
    </w:p>
    <w:p w14:paraId="73B6B44D" w14:textId="7E2CD4FB" w:rsidR="00A8215C" w:rsidRPr="00D05EFE" w:rsidRDefault="00A8215C" w:rsidP="00A8215C">
      <w:pPr>
        <w:pStyle w:val="ListParagraph"/>
        <w:numPr>
          <w:ilvl w:val="2"/>
          <w:numId w:val="2"/>
        </w:numPr>
        <w:kinsoku w:val="0"/>
        <w:overflowPunct w:val="0"/>
        <w:spacing w:after="100" w:afterAutospacing="1"/>
        <w:textAlignment w:val="baseline"/>
        <w:rPr>
          <w:rFonts w:ascii="Arial" w:hAnsi="Arial" w:cs="Arial"/>
          <w:szCs w:val="28"/>
        </w:rPr>
      </w:pPr>
      <w:r w:rsidRPr="00D05EFE">
        <w:rPr>
          <w:rFonts w:ascii="Arial" w:hAnsi="Arial" w:cs="Arial"/>
          <w:color w:val="000000" w:themeColor="text1"/>
          <w:szCs w:val="28"/>
          <w:lang w:val="en-US"/>
        </w:rPr>
        <w:t>it is likely to last for the rest of the life of the person</w:t>
      </w:r>
    </w:p>
    <w:p w14:paraId="18F3A6C9" w14:textId="330976AD" w:rsidR="00602EA0" w:rsidRPr="00D05EFE" w:rsidRDefault="00602EA0" w:rsidP="001132E4">
      <w:pPr>
        <w:kinsoku w:val="0"/>
        <w:overflowPunct w:val="0"/>
        <w:spacing w:after="100" w:afterAutospacing="1"/>
        <w:textAlignment w:val="baseline"/>
        <w:rPr>
          <w:rFonts w:ascii="Arial" w:hAnsi="Arial" w:cs="Arial"/>
          <w:szCs w:val="28"/>
        </w:rPr>
      </w:pPr>
      <w:r w:rsidRPr="00D05EFE">
        <w:rPr>
          <w:rFonts w:ascii="Arial" w:hAnsi="Arial" w:cs="Arial"/>
          <w:szCs w:val="28"/>
        </w:rPr>
        <w:t xml:space="preserve">The definition includes specific learning difficulties (e.g. dyslexia, dyspraxia), mental </w:t>
      </w:r>
      <w:r w:rsidR="00D05EFE">
        <w:rPr>
          <w:rFonts w:ascii="Arial" w:hAnsi="Arial" w:cs="Arial"/>
          <w:szCs w:val="28"/>
        </w:rPr>
        <w:t>health conditions</w:t>
      </w:r>
      <w:r w:rsidRPr="00D05EFE">
        <w:rPr>
          <w:rFonts w:ascii="Arial" w:hAnsi="Arial" w:cs="Arial"/>
          <w:szCs w:val="28"/>
        </w:rPr>
        <w:t xml:space="preserve"> (includin</w:t>
      </w:r>
      <w:r w:rsidR="002E0F7F" w:rsidRPr="00D05EFE">
        <w:rPr>
          <w:rFonts w:ascii="Arial" w:hAnsi="Arial" w:cs="Arial"/>
          <w:szCs w:val="28"/>
        </w:rPr>
        <w:t>g anxiety and depression), long-</w:t>
      </w:r>
      <w:r w:rsidRPr="00D05EFE">
        <w:rPr>
          <w:rFonts w:ascii="Arial" w:hAnsi="Arial" w:cs="Arial"/>
          <w:szCs w:val="28"/>
        </w:rPr>
        <w:t>term health conditions</w:t>
      </w:r>
      <w:r w:rsidR="00E80099">
        <w:rPr>
          <w:rFonts w:ascii="Arial" w:hAnsi="Arial" w:cs="Arial"/>
          <w:szCs w:val="28"/>
        </w:rPr>
        <w:t xml:space="preserve"> (including</w:t>
      </w:r>
      <w:r w:rsidRPr="00D05EFE">
        <w:rPr>
          <w:rFonts w:ascii="Arial" w:hAnsi="Arial" w:cs="Arial"/>
          <w:szCs w:val="28"/>
        </w:rPr>
        <w:t xml:space="preserve"> Long-Covid</w:t>
      </w:r>
      <w:r w:rsidR="00D05EFE">
        <w:rPr>
          <w:rFonts w:ascii="Arial" w:hAnsi="Arial" w:cs="Arial"/>
          <w:szCs w:val="28"/>
        </w:rPr>
        <w:t xml:space="preserve">, </w:t>
      </w:r>
      <w:r w:rsidR="00D05EFE" w:rsidRPr="00D05EFE">
        <w:rPr>
          <w:rFonts w:ascii="Arial" w:hAnsi="Arial" w:cs="Arial"/>
          <w:szCs w:val="28"/>
        </w:rPr>
        <w:t>Chronic fatigue syndrome</w:t>
      </w:r>
      <w:r w:rsidRPr="00D05EFE">
        <w:rPr>
          <w:rFonts w:ascii="Arial" w:hAnsi="Arial" w:cs="Arial"/>
          <w:szCs w:val="28"/>
        </w:rPr>
        <w:t>)</w:t>
      </w:r>
      <w:r w:rsidR="002E0F7F" w:rsidRPr="00D05EFE">
        <w:rPr>
          <w:rFonts w:ascii="Arial" w:hAnsi="Arial" w:cs="Arial"/>
          <w:szCs w:val="28"/>
        </w:rPr>
        <w:t>, sensory and physical/mobility impairments (e.g. v</w:t>
      </w:r>
      <w:r w:rsidR="00E80099">
        <w:rPr>
          <w:rFonts w:ascii="Arial" w:hAnsi="Arial" w:cs="Arial"/>
          <w:szCs w:val="28"/>
        </w:rPr>
        <w:t xml:space="preserve">isual &amp; hearing impairments, </w:t>
      </w:r>
      <w:r w:rsidR="002E0F7F" w:rsidRPr="00D05EFE">
        <w:rPr>
          <w:rFonts w:ascii="Arial" w:hAnsi="Arial" w:cs="Arial"/>
          <w:szCs w:val="28"/>
        </w:rPr>
        <w:t xml:space="preserve">wheelchair users) and neurodivergent conditions (e.g. Autism, ADHD). </w:t>
      </w:r>
    </w:p>
    <w:p w14:paraId="432FD094" w14:textId="69462D8C" w:rsidR="00A8215C" w:rsidRPr="00812550" w:rsidRDefault="00A8215C" w:rsidP="00232852">
      <w:pPr>
        <w:pStyle w:val="Heading1"/>
        <w:numPr>
          <w:ilvl w:val="0"/>
          <w:numId w:val="7"/>
        </w:numPr>
        <w:rPr>
          <w:rFonts w:eastAsiaTheme="minorEastAsia" w:cs="Arial"/>
        </w:rPr>
      </w:pPr>
      <w:r w:rsidRPr="00812550">
        <w:rPr>
          <w:rFonts w:eastAsiaTheme="minorEastAsia" w:cs="Arial"/>
        </w:rPr>
        <w:t>T</w:t>
      </w:r>
      <w:r w:rsidR="00E80099">
        <w:rPr>
          <w:rFonts w:eastAsiaTheme="minorEastAsia" w:cs="Arial"/>
        </w:rPr>
        <w:t>he duty on u</w:t>
      </w:r>
      <w:r w:rsidRPr="00812550">
        <w:rPr>
          <w:rFonts w:eastAsiaTheme="minorEastAsia" w:cs="Arial"/>
        </w:rPr>
        <w:t>niversities to make reasonable adjustments</w:t>
      </w:r>
    </w:p>
    <w:p w14:paraId="1C61991B" w14:textId="77777777" w:rsidR="00A8215C" w:rsidRPr="00D05EFE" w:rsidRDefault="00A8215C" w:rsidP="00A8215C">
      <w:pPr>
        <w:pStyle w:val="NormalWeb"/>
        <w:kinsoku w:val="0"/>
        <w:overflowPunct w:val="0"/>
        <w:spacing w:before="0" w:beforeAutospacing="0" w:after="0" w:afterAutospacing="0"/>
        <w:textAlignment w:val="baseline"/>
        <w:rPr>
          <w:rFonts w:ascii="Arial" w:hAnsi="Arial" w:cs="Arial"/>
          <w:szCs w:val="28"/>
        </w:rPr>
      </w:pPr>
      <w:r w:rsidRPr="00D05EFE">
        <w:rPr>
          <w:rFonts w:ascii="Arial" w:eastAsiaTheme="minorEastAsia" w:hAnsi="Arial" w:cs="Arial"/>
          <w:bCs/>
          <w:color w:val="000000" w:themeColor="text1"/>
          <w:szCs w:val="28"/>
        </w:rPr>
        <w:t>The Equality Act (2010) places a duty upon HEIs to make reasonable adjustments for staff, students and service users in relation to:</w:t>
      </w:r>
    </w:p>
    <w:p w14:paraId="673B6464" w14:textId="77777777" w:rsidR="00A8215C" w:rsidRPr="00D05EFE" w:rsidRDefault="00A8215C" w:rsidP="001132E4">
      <w:pPr>
        <w:pStyle w:val="ListParagraph"/>
        <w:numPr>
          <w:ilvl w:val="1"/>
          <w:numId w:val="1"/>
        </w:numPr>
        <w:kinsoku w:val="0"/>
        <w:overflowPunct w:val="0"/>
        <w:ind w:left="1434" w:hanging="357"/>
        <w:textAlignment w:val="baseline"/>
        <w:rPr>
          <w:rFonts w:ascii="Arial" w:hAnsi="Arial" w:cs="Arial"/>
          <w:szCs w:val="28"/>
        </w:rPr>
      </w:pPr>
      <w:r w:rsidRPr="00D05EFE">
        <w:rPr>
          <w:rFonts w:ascii="Arial" w:hAnsi="Arial" w:cs="Arial"/>
          <w:bCs/>
          <w:color w:val="000000" w:themeColor="text1"/>
          <w:szCs w:val="28"/>
        </w:rPr>
        <w:t>a provision, criteria or practice</w:t>
      </w:r>
    </w:p>
    <w:p w14:paraId="6C874A62" w14:textId="77777777" w:rsidR="00A8215C" w:rsidRPr="00D05EFE" w:rsidRDefault="00A8215C" w:rsidP="001132E4">
      <w:pPr>
        <w:pStyle w:val="ListParagraph"/>
        <w:numPr>
          <w:ilvl w:val="1"/>
          <w:numId w:val="1"/>
        </w:numPr>
        <w:kinsoku w:val="0"/>
        <w:overflowPunct w:val="0"/>
        <w:ind w:left="1434" w:hanging="357"/>
        <w:textAlignment w:val="baseline"/>
        <w:rPr>
          <w:rFonts w:ascii="Arial" w:hAnsi="Arial" w:cs="Arial"/>
          <w:szCs w:val="28"/>
        </w:rPr>
      </w:pPr>
      <w:r w:rsidRPr="00D05EFE">
        <w:rPr>
          <w:rFonts w:ascii="Arial" w:hAnsi="Arial" w:cs="Arial"/>
          <w:bCs/>
          <w:color w:val="000000" w:themeColor="text1"/>
          <w:szCs w:val="28"/>
        </w:rPr>
        <w:t>physical features</w:t>
      </w:r>
    </w:p>
    <w:p w14:paraId="1D3D8DAF" w14:textId="77777777" w:rsidR="00A8215C" w:rsidRPr="00D05EFE" w:rsidRDefault="00A8215C" w:rsidP="001132E4">
      <w:pPr>
        <w:pStyle w:val="ListParagraph"/>
        <w:numPr>
          <w:ilvl w:val="1"/>
          <w:numId w:val="1"/>
        </w:numPr>
        <w:kinsoku w:val="0"/>
        <w:overflowPunct w:val="0"/>
        <w:ind w:left="1434" w:hanging="357"/>
        <w:textAlignment w:val="baseline"/>
        <w:rPr>
          <w:rFonts w:ascii="Arial" w:hAnsi="Arial" w:cs="Arial"/>
          <w:szCs w:val="28"/>
        </w:rPr>
      </w:pPr>
      <w:r w:rsidRPr="00D05EFE">
        <w:rPr>
          <w:rFonts w:ascii="Arial" w:hAnsi="Arial" w:cs="Arial"/>
          <w:bCs/>
          <w:color w:val="000000" w:themeColor="text1"/>
          <w:szCs w:val="28"/>
        </w:rPr>
        <w:t>auxiliary aids</w:t>
      </w:r>
    </w:p>
    <w:p w14:paraId="5D71449F" w14:textId="705129DC" w:rsidR="00A8215C" w:rsidRPr="00D05EFE" w:rsidRDefault="00A8215C" w:rsidP="00A8215C">
      <w:pPr>
        <w:pStyle w:val="NormalWeb"/>
        <w:kinsoku w:val="0"/>
        <w:overflowPunct w:val="0"/>
        <w:spacing w:before="0" w:beforeAutospacing="0" w:after="120" w:afterAutospacing="0"/>
        <w:textAlignment w:val="baseline"/>
        <w:rPr>
          <w:rFonts w:ascii="Arial" w:hAnsi="Arial" w:cs="Arial"/>
          <w:szCs w:val="28"/>
        </w:rPr>
      </w:pPr>
      <w:r w:rsidRPr="00D05EFE">
        <w:rPr>
          <w:rFonts w:ascii="Arial" w:eastAsiaTheme="minorEastAsia" w:hAnsi="Arial" w:cs="Arial"/>
          <w:bCs/>
          <w:color w:val="000000" w:themeColor="text1"/>
          <w:szCs w:val="28"/>
        </w:rPr>
        <w:t>Education providers have a duty to make reasonable adjustments to ensure disabled people do not face ‘</w:t>
      </w:r>
      <w:r w:rsidRPr="00D05EFE">
        <w:rPr>
          <w:rFonts w:ascii="Arial" w:eastAsiaTheme="minorEastAsia" w:hAnsi="Arial" w:cs="Arial"/>
          <w:bCs/>
          <w:i/>
          <w:iCs/>
          <w:color w:val="000000" w:themeColor="text1"/>
          <w:szCs w:val="28"/>
        </w:rPr>
        <w:t>substantial disadvantage</w:t>
      </w:r>
      <w:r w:rsidRPr="00D05EFE">
        <w:rPr>
          <w:rFonts w:ascii="Arial" w:eastAsiaTheme="minorEastAsia" w:hAnsi="Arial" w:cs="Arial"/>
          <w:bCs/>
          <w:color w:val="000000" w:themeColor="text1"/>
          <w:szCs w:val="28"/>
        </w:rPr>
        <w:t>.’ The duty is anticipatory</w:t>
      </w:r>
      <w:r w:rsidR="00D05EFE" w:rsidRPr="00D05EFE">
        <w:rPr>
          <w:rFonts w:ascii="Arial" w:eastAsiaTheme="minorEastAsia" w:hAnsi="Arial" w:cs="Arial"/>
          <w:bCs/>
          <w:color w:val="000000" w:themeColor="text1"/>
          <w:szCs w:val="28"/>
        </w:rPr>
        <w:t xml:space="preserve"> (i.e. we should not wait until students are here to make adjustments, we should plan for them and where possible design them in in advance). </w:t>
      </w:r>
    </w:p>
    <w:p w14:paraId="653FD1EF" w14:textId="1E361B7F" w:rsidR="001132E4" w:rsidRPr="00812550" w:rsidRDefault="00D05EFE" w:rsidP="001132E4">
      <w:pPr>
        <w:pStyle w:val="Heading1"/>
        <w:numPr>
          <w:ilvl w:val="0"/>
          <w:numId w:val="7"/>
        </w:numPr>
        <w:rPr>
          <w:rFonts w:cs="Arial"/>
        </w:rPr>
      </w:pPr>
      <w:r>
        <w:rPr>
          <w:rFonts w:cs="Arial"/>
        </w:rPr>
        <w:t xml:space="preserve">Inclusive teaching, </w:t>
      </w:r>
      <w:r w:rsidR="001132E4" w:rsidRPr="00812550">
        <w:rPr>
          <w:rFonts w:cs="Arial"/>
        </w:rPr>
        <w:t>learning</w:t>
      </w:r>
      <w:r>
        <w:rPr>
          <w:rFonts w:cs="Arial"/>
        </w:rPr>
        <w:t xml:space="preserve"> &amp; assessment</w:t>
      </w:r>
    </w:p>
    <w:p w14:paraId="5C65A9F2" w14:textId="1F6A255E" w:rsidR="00D05EFE" w:rsidRDefault="001132E4" w:rsidP="00D05EFE">
      <w:pPr>
        <w:rPr>
          <w:rFonts w:ascii="Arial" w:hAnsi="Arial" w:cs="Arial"/>
          <w:sz w:val="28"/>
        </w:rPr>
      </w:pPr>
      <w:r w:rsidRPr="00D05EFE">
        <w:rPr>
          <w:rFonts w:ascii="Arial" w:hAnsi="Arial" w:cs="Arial"/>
          <w:bCs/>
        </w:rPr>
        <w:t xml:space="preserve">The </w:t>
      </w:r>
      <w:hyperlink r:id="rId8" w:history="1">
        <w:r w:rsidR="00AF1891" w:rsidRPr="00D05EFE">
          <w:rPr>
            <w:rStyle w:val="Hyperlink"/>
            <w:rFonts w:ascii="Arial" w:hAnsi="Arial" w:cs="Arial"/>
            <w:bCs/>
          </w:rPr>
          <w:t>Office for Students</w:t>
        </w:r>
      </w:hyperlink>
      <w:r w:rsidR="00AF1891" w:rsidRPr="00D05EFE">
        <w:rPr>
          <w:rFonts w:ascii="Arial" w:hAnsi="Arial" w:cs="Arial"/>
          <w:bCs/>
        </w:rPr>
        <w:t xml:space="preserve">, the </w:t>
      </w:r>
      <w:hyperlink r:id="rId9" w:history="1">
        <w:r w:rsidR="00AF1891" w:rsidRPr="00D05EFE">
          <w:rPr>
            <w:rStyle w:val="Hyperlink"/>
            <w:rFonts w:ascii="Arial" w:hAnsi="Arial" w:cs="Arial"/>
            <w:bCs/>
          </w:rPr>
          <w:t>Department for Education</w:t>
        </w:r>
      </w:hyperlink>
      <w:r w:rsidR="00AF1891" w:rsidRPr="00D05EFE">
        <w:rPr>
          <w:rFonts w:ascii="Arial" w:hAnsi="Arial" w:cs="Arial"/>
          <w:bCs/>
        </w:rPr>
        <w:t xml:space="preserve">, the </w:t>
      </w:r>
      <w:hyperlink r:id="rId10" w:history="1">
        <w:r w:rsidR="00AF1891" w:rsidRPr="00D05EFE">
          <w:rPr>
            <w:rStyle w:val="Hyperlink"/>
            <w:rFonts w:ascii="Arial" w:hAnsi="Arial" w:cs="Arial"/>
            <w:bCs/>
          </w:rPr>
          <w:t>Quality Assurance Agency</w:t>
        </w:r>
      </w:hyperlink>
      <w:r w:rsidR="00AF1891" w:rsidRPr="00D05EFE">
        <w:rPr>
          <w:rFonts w:ascii="Arial" w:hAnsi="Arial" w:cs="Arial"/>
          <w:bCs/>
        </w:rPr>
        <w:t xml:space="preserve">, the </w:t>
      </w:r>
      <w:hyperlink r:id="rId11" w:history="1">
        <w:r w:rsidR="00AF1891" w:rsidRPr="00D05EFE">
          <w:rPr>
            <w:rStyle w:val="Hyperlink"/>
            <w:rFonts w:ascii="Arial" w:hAnsi="Arial" w:cs="Arial"/>
            <w:bCs/>
          </w:rPr>
          <w:t>Office of the Independent Adjudicator</w:t>
        </w:r>
      </w:hyperlink>
      <w:r w:rsidR="00AF1891" w:rsidRPr="00D05EFE">
        <w:rPr>
          <w:rFonts w:ascii="Arial" w:hAnsi="Arial" w:cs="Arial"/>
          <w:bCs/>
        </w:rPr>
        <w:t xml:space="preserve">, the </w:t>
      </w:r>
      <w:hyperlink r:id="rId12" w:history="1">
        <w:r w:rsidR="00AF1891" w:rsidRPr="00D05EFE">
          <w:rPr>
            <w:rStyle w:val="Hyperlink"/>
            <w:rFonts w:ascii="Arial" w:hAnsi="Arial" w:cs="Arial"/>
            <w:bCs/>
          </w:rPr>
          <w:t>Disabled Students Commission</w:t>
        </w:r>
      </w:hyperlink>
      <w:r w:rsidR="00AF1891" w:rsidRPr="00D05EFE">
        <w:rPr>
          <w:rFonts w:ascii="Arial" w:hAnsi="Arial" w:cs="Arial"/>
          <w:bCs/>
        </w:rPr>
        <w:t xml:space="preserve"> and </w:t>
      </w:r>
      <w:hyperlink r:id="rId13" w:history="1">
        <w:r w:rsidR="00AF1891" w:rsidRPr="00D05EFE">
          <w:rPr>
            <w:rStyle w:val="Hyperlink"/>
            <w:rFonts w:ascii="Arial" w:hAnsi="Arial" w:cs="Arial"/>
            <w:bCs/>
          </w:rPr>
          <w:t>Disabled Students UK</w:t>
        </w:r>
      </w:hyperlink>
      <w:r w:rsidR="00AF1891" w:rsidRPr="00D05EFE">
        <w:rPr>
          <w:rFonts w:ascii="Arial" w:hAnsi="Arial" w:cs="Arial"/>
          <w:bCs/>
        </w:rPr>
        <w:t xml:space="preserve"> have all issued guidance encouraging</w:t>
      </w:r>
      <w:r w:rsidR="005828AB">
        <w:rPr>
          <w:rFonts w:ascii="Arial" w:hAnsi="Arial" w:cs="Arial"/>
          <w:bCs/>
        </w:rPr>
        <w:t xml:space="preserve"> u</w:t>
      </w:r>
      <w:r w:rsidRPr="00D05EFE">
        <w:rPr>
          <w:rFonts w:ascii="Arial" w:hAnsi="Arial" w:cs="Arial"/>
          <w:bCs/>
        </w:rPr>
        <w:t xml:space="preserve">niversities to look at ways that they can reduce the need for making individual adjustments by designing the curriculum, teaching and assessment more inclusively. </w:t>
      </w:r>
      <w:r w:rsidR="002E0F7F" w:rsidRPr="00D05EFE">
        <w:rPr>
          <w:rFonts w:ascii="Arial" w:hAnsi="Arial" w:cs="Arial"/>
          <w:bCs/>
        </w:rPr>
        <w:t xml:space="preserve">It is far less time-consuming to design in an inclusive way than to make multiple reactive adjustments. </w:t>
      </w:r>
      <w:r w:rsidR="00D05EFE">
        <w:rPr>
          <w:rFonts w:ascii="Arial" w:hAnsi="Arial" w:cs="Arial"/>
          <w:bCs/>
        </w:rPr>
        <w:t>In July 2022 the total number of disabled students studying at Cambridge was 4778 (which represents just under 20% of the total student population), and for the start of the 2022-23 academic year another 1300 disabled students will be starting their studies at Cambridge. Designing our teaching, learning and assessment in an inclusive way</w:t>
      </w:r>
      <w:r w:rsidR="005828AB">
        <w:rPr>
          <w:rFonts w:ascii="Arial" w:hAnsi="Arial" w:cs="Arial"/>
          <w:bCs/>
        </w:rPr>
        <w:t xml:space="preserve"> to meet the requirements of the widest possible range of students, rather than making multiple individual adjustments for multiple individual students is a far more effective and efficient approach. </w:t>
      </w:r>
    </w:p>
    <w:p w14:paraId="1C0F3E53" w14:textId="530C5321" w:rsidR="002E0F7F" w:rsidRPr="00D05EFE" w:rsidRDefault="002E0F7F" w:rsidP="00AF1891">
      <w:pPr>
        <w:rPr>
          <w:rFonts w:ascii="Arial" w:hAnsi="Arial" w:cs="Arial"/>
        </w:rPr>
      </w:pPr>
      <w:r w:rsidRPr="00D05EFE">
        <w:rPr>
          <w:rFonts w:ascii="Arial" w:hAnsi="Arial" w:cs="Arial"/>
        </w:rPr>
        <w:lastRenderedPageBreak/>
        <w:t xml:space="preserve">The University’s </w:t>
      </w:r>
      <w:hyperlink r:id="rId14" w:history="1">
        <w:r w:rsidRPr="00D05EFE">
          <w:rPr>
            <w:rStyle w:val="Hyperlink"/>
            <w:rFonts w:ascii="Arial" w:hAnsi="Arial" w:cs="Arial"/>
          </w:rPr>
          <w:t>Code of Practice: Access and Inclusion for Disabled Students</w:t>
        </w:r>
      </w:hyperlink>
      <w:r w:rsidRPr="00D05EFE">
        <w:rPr>
          <w:rFonts w:ascii="Arial" w:hAnsi="Arial" w:cs="Arial"/>
        </w:rPr>
        <w:t xml:space="preserve"> provides more detailed guidance on how the implementation of inclusive teaching, learning and assessment practices can reduce the number of reactive reasonable adjustments required. </w:t>
      </w:r>
      <w:r w:rsidR="00AF1891" w:rsidRPr="00D05EFE">
        <w:rPr>
          <w:rFonts w:ascii="Arial" w:hAnsi="Arial" w:cs="Arial"/>
        </w:rPr>
        <w:t xml:space="preserve">The ADRC has also produced </w:t>
      </w:r>
      <w:hyperlink r:id="rId15" w:history="1">
        <w:r w:rsidR="00AF1891" w:rsidRPr="00D05EFE">
          <w:rPr>
            <w:rStyle w:val="Hyperlink"/>
            <w:rFonts w:ascii="Arial" w:hAnsi="Arial" w:cs="Arial"/>
          </w:rPr>
          <w:t>guidance</w:t>
        </w:r>
      </w:hyperlink>
      <w:r w:rsidR="00AF1891" w:rsidRPr="00D05EFE">
        <w:rPr>
          <w:rFonts w:ascii="Arial" w:hAnsi="Arial" w:cs="Arial"/>
        </w:rPr>
        <w:t xml:space="preserve"> and </w:t>
      </w:r>
      <w:hyperlink r:id="rId16" w:history="1">
        <w:r w:rsidR="00AF1891" w:rsidRPr="00D05EFE">
          <w:rPr>
            <w:rStyle w:val="Hyperlink"/>
            <w:rFonts w:ascii="Arial" w:hAnsi="Arial" w:cs="Arial"/>
          </w:rPr>
          <w:t>training</w:t>
        </w:r>
      </w:hyperlink>
      <w:r w:rsidR="00AF1891" w:rsidRPr="00D05EFE">
        <w:rPr>
          <w:rFonts w:ascii="Arial" w:hAnsi="Arial" w:cs="Arial"/>
        </w:rPr>
        <w:t xml:space="preserve"> on inclusive teaching and learning as well as </w:t>
      </w:r>
      <w:hyperlink r:id="rId17" w:history="1">
        <w:r w:rsidR="00AF1891" w:rsidRPr="00D05EFE">
          <w:rPr>
            <w:rStyle w:val="Hyperlink"/>
            <w:rFonts w:ascii="Arial" w:hAnsi="Arial" w:cs="Arial"/>
          </w:rPr>
          <w:t>guidance on understanding</w:t>
        </w:r>
      </w:hyperlink>
      <w:r w:rsidR="00AF1891" w:rsidRPr="00D05EFE">
        <w:rPr>
          <w:rFonts w:ascii="Arial" w:hAnsi="Arial" w:cs="Arial"/>
        </w:rPr>
        <w:t xml:space="preserve"> the impact which specific impairments can have in an educational environment. </w:t>
      </w:r>
    </w:p>
    <w:p w14:paraId="3F68FC92" w14:textId="338AA43C" w:rsidR="001132E4" w:rsidRDefault="001132E4" w:rsidP="00232852">
      <w:pPr>
        <w:pStyle w:val="Heading1"/>
        <w:numPr>
          <w:ilvl w:val="0"/>
          <w:numId w:val="7"/>
        </w:numPr>
        <w:rPr>
          <w:rFonts w:cs="Arial"/>
        </w:rPr>
      </w:pPr>
      <w:r>
        <w:rPr>
          <w:rFonts w:cs="Arial"/>
        </w:rPr>
        <w:t>Examples of inclusive practice at Cambridge</w:t>
      </w:r>
    </w:p>
    <w:p w14:paraId="7B6A61F8" w14:textId="101A849F" w:rsidR="001132E4" w:rsidRPr="00D05EFE" w:rsidRDefault="00AF1891"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Teaching m</w:t>
      </w:r>
      <w:r w:rsidR="001132E4" w:rsidRPr="00D05EFE">
        <w:rPr>
          <w:rFonts w:ascii="Arial" w:eastAsiaTheme="minorEastAsia" w:hAnsi="Arial" w:cs="Arial"/>
          <w:bCs/>
          <w:color w:val="000000" w:themeColor="text1"/>
          <w:szCs w:val="28"/>
        </w:rPr>
        <w:t xml:space="preserve">aterials in advance in accessible/alternative formats </w:t>
      </w:r>
    </w:p>
    <w:p w14:paraId="41DFB51E" w14:textId="73F61DC0" w:rsidR="00AF1891" w:rsidRPr="00D05EFE" w:rsidRDefault="00AF1891"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Accessible teaching locations</w:t>
      </w:r>
    </w:p>
    <w:p w14:paraId="3B3D55B0" w14:textId="77777777" w:rsidR="001132E4" w:rsidRPr="00D05EFE" w:rsidRDefault="001132E4"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Extensions to library loans for all disabled students</w:t>
      </w:r>
    </w:p>
    <w:p w14:paraId="3B0D1EAC" w14:textId="7027AD19" w:rsidR="001132E4" w:rsidRPr="00D05EFE" w:rsidRDefault="001132E4"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Provision of lecture recordings for all students</w:t>
      </w:r>
    </w:p>
    <w:p w14:paraId="3D287D3C" w14:textId="6A1FE103" w:rsidR="002E0F7F" w:rsidRPr="00D05EFE" w:rsidRDefault="002E0F7F"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Provide closed captions on recordings</w:t>
      </w:r>
    </w:p>
    <w:p w14:paraId="015E8F3E" w14:textId="77777777" w:rsidR="001132E4" w:rsidRPr="00D05EFE" w:rsidRDefault="001132E4"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Availability of electronic versions of materials</w:t>
      </w:r>
    </w:p>
    <w:p w14:paraId="23AA0070" w14:textId="77777777" w:rsidR="001132E4" w:rsidRPr="00D05EFE" w:rsidRDefault="001132E4"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Directed reading lists (in electronic format)</w:t>
      </w:r>
    </w:p>
    <w:p w14:paraId="4BDF8408" w14:textId="4A71152D" w:rsidR="001132E4" w:rsidRPr="00E80099" w:rsidRDefault="001132E4"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sidRPr="00D05EFE">
        <w:rPr>
          <w:rFonts w:ascii="Arial" w:eastAsiaTheme="minorEastAsia" w:hAnsi="Arial" w:cs="Arial"/>
          <w:bCs/>
          <w:color w:val="000000" w:themeColor="text1"/>
          <w:szCs w:val="28"/>
        </w:rPr>
        <w:t>Diversified assessment (choice of mode of assessment)</w:t>
      </w:r>
    </w:p>
    <w:p w14:paraId="6F462A20" w14:textId="6153BB5B" w:rsidR="00E80099" w:rsidRPr="00D05EFE" w:rsidRDefault="00E80099" w:rsidP="00AF1891">
      <w:pPr>
        <w:pStyle w:val="ListParagraph"/>
        <w:numPr>
          <w:ilvl w:val="0"/>
          <w:numId w:val="14"/>
        </w:numPr>
        <w:kinsoku w:val="0"/>
        <w:overflowPunct w:val="0"/>
        <w:spacing w:after="100" w:afterAutospacing="1" w:line="276" w:lineRule="auto"/>
        <w:ind w:left="1077" w:hanging="357"/>
        <w:textAlignment w:val="baseline"/>
        <w:rPr>
          <w:rFonts w:ascii="Arial" w:hAnsi="Arial" w:cs="Arial"/>
          <w:szCs w:val="28"/>
        </w:rPr>
      </w:pPr>
      <w:r>
        <w:rPr>
          <w:rFonts w:ascii="Arial" w:eastAsiaTheme="minorEastAsia" w:hAnsi="Arial" w:cs="Arial"/>
          <w:bCs/>
          <w:color w:val="000000" w:themeColor="text1"/>
          <w:szCs w:val="28"/>
        </w:rPr>
        <w:t>Induction loops</w:t>
      </w:r>
      <w:bookmarkStart w:id="0" w:name="_GoBack"/>
      <w:bookmarkEnd w:id="0"/>
    </w:p>
    <w:p w14:paraId="5D625DA1" w14:textId="44F46322" w:rsidR="00A8215C" w:rsidRPr="00812550" w:rsidRDefault="00A8215C" w:rsidP="00232852">
      <w:pPr>
        <w:pStyle w:val="Heading1"/>
        <w:numPr>
          <w:ilvl w:val="0"/>
          <w:numId w:val="7"/>
        </w:numPr>
        <w:rPr>
          <w:rFonts w:cs="Arial"/>
        </w:rPr>
      </w:pPr>
      <w:r w:rsidRPr="00812550">
        <w:rPr>
          <w:rFonts w:cs="Arial"/>
        </w:rPr>
        <w:t>Examples of reasonable adjustments</w:t>
      </w:r>
      <w:r w:rsidR="001132E4">
        <w:rPr>
          <w:rFonts w:cs="Arial"/>
        </w:rPr>
        <w:t xml:space="preserve"> </w:t>
      </w:r>
      <w:r w:rsidRPr="00812550">
        <w:rPr>
          <w:rFonts w:cs="Arial"/>
        </w:rPr>
        <w:t>at Cambridge</w:t>
      </w:r>
    </w:p>
    <w:p w14:paraId="63CFEB00" w14:textId="79A4148A"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 xml:space="preserve">Non-Medical Help (e.g. note-takers, </w:t>
      </w:r>
      <w:r w:rsidR="00E80099">
        <w:rPr>
          <w:rFonts w:ascii="Arial" w:eastAsiaTheme="minorEastAsia" w:hAnsi="Arial" w:cs="Arial"/>
          <w:bCs/>
          <w:color w:val="000000" w:themeColor="text1"/>
          <w:szCs w:val="28"/>
        </w:rPr>
        <w:t xml:space="preserve">specialist </w:t>
      </w:r>
      <w:r w:rsidRPr="00D05EFE">
        <w:rPr>
          <w:rFonts w:ascii="Arial" w:eastAsiaTheme="minorEastAsia" w:hAnsi="Arial" w:cs="Arial"/>
          <w:bCs/>
          <w:color w:val="000000" w:themeColor="text1"/>
          <w:szCs w:val="28"/>
        </w:rPr>
        <w:t xml:space="preserve">mentors, </w:t>
      </w:r>
      <w:r w:rsidR="00E80099">
        <w:rPr>
          <w:rFonts w:ascii="Arial" w:eastAsiaTheme="minorEastAsia" w:hAnsi="Arial" w:cs="Arial"/>
          <w:bCs/>
          <w:color w:val="000000" w:themeColor="text1"/>
          <w:szCs w:val="28"/>
        </w:rPr>
        <w:t xml:space="preserve">specialist </w:t>
      </w:r>
      <w:r w:rsidRPr="00D05EFE">
        <w:rPr>
          <w:rFonts w:ascii="Arial" w:eastAsiaTheme="minorEastAsia" w:hAnsi="Arial" w:cs="Arial"/>
          <w:bCs/>
          <w:color w:val="000000" w:themeColor="text1"/>
          <w:szCs w:val="28"/>
        </w:rPr>
        <w:t>study skills)</w:t>
      </w:r>
    </w:p>
    <w:p w14:paraId="3A7759A9" w14:textId="1BA9CDA5" w:rsidR="001132E4" w:rsidRPr="00D05EFE" w:rsidRDefault="00AF1891"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 xml:space="preserve">Adjustments to </w:t>
      </w:r>
      <w:r w:rsidR="001132E4" w:rsidRPr="00D05EFE">
        <w:rPr>
          <w:rFonts w:ascii="Arial" w:eastAsiaTheme="minorEastAsia" w:hAnsi="Arial" w:cs="Arial"/>
          <w:bCs/>
          <w:color w:val="000000" w:themeColor="text1"/>
          <w:szCs w:val="28"/>
        </w:rPr>
        <w:t>seating/lighting</w:t>
      </w:r>
      <w:r w:rsidR="00E80099">
        <w:rPr>
          <w:rFonts w:ascii="Arial" w:eastAsiaTheme="minorEastAsia" w:hAnsi="Arial" w:cs="Arial"/>
          <w:bCs/>
          <w:color w:val="000000" w:themeColor="text1"/>
          <w:szCs w:val="28"/>
        </w:rPr>
        <w:t>, ergonomic equipment, assistive technology</w:t>
      </w:r>
    </w:p>
    <w:p w14:paraId="0A4914CC" w14:textId="77777777"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Examination access arrangements</w:t>
      </w:r>
    </w:p>
    <w:p w14:paraId="30AF889D" w14:textId="77777777"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Alternative modes of assessment</w:t>
      </w:r>
    </w:p>
    <w:p w14:paraId="5918B2D8" w14:textId="77777777"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Timetable adjustments</w:t>
      </w:r>
    </w:p>
    <w:p w14:paraId="2391F112" w14:textId="77777777"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Extensions</w:t>
      </w:r>
    </w:p>
    <w:p w14:paraId="30DA08E5" w14:textId="77777777" w:rsidR="001132E4" w:rsidRPr="00D05EFE" w:rsidRDefault="001132E4" w:rsidP="00AF1891">
      <w:pPr>
        <w:pStyle w:val="ListParagraph"/>
        <w:numPr>
          <w:ilvl w:val="0"/>
          <w:numId w:val="16"/>
        </w:numPr>
        <w:kinsoku w:val="0"/>
        <w:overflowPunct w:val="0"/>
        <w:spacing w:line="276" w:lineRule="auto"/>
        <w:textAlignment w:val="baseline"/>
        <w:rPr>
          <w:rFonts w:ascii="Arial" w:hAnsi="Arial" w:cs="Arial"/>
          <w:szCs w:val="28"/>
        </w:rPr>
      </w:pPr>
      <w:r w:rsidRPr="00D05EFE">
        <w:rPr>
          <w:rFonts w:ascii="Arial" w:eastAsiaTheme="minorEastAsia" w:hAnsi="Arial" w:cs="Arial"/>
          <w:bCs/>
          <w:color w:val="000000" w:themeColor="text1"/>
          <w:szCs w:val="28"/>
        </w:rPr>
        <w:t>Permission to record supervisions and seminars</w:t>
      </w:r>
    </w:p>
    <w:p w14:paraId="0833A1D3" w14:textId="5AAFA66E" w:rsidR="005828AB" w:rsidRDefault="005828AB" w:rsidP="00232852">
      <w:pPr>
        <w:pStyle w:val="Heading1"/>
        <w:numPr>
          <w:ilvl w:val="0"/>
          <w:numId w:val="7"/>
        </w:numPr>
        <w:rPr>
          <w:rFonts w:cs="Arial"/>
          <w:szCs w:val="28"/>
        </w:rPr>
      </w:pPr>
      <w:r>
        <w:rPr>
          <w:rFonts w:cs="Arial"/>
          <w:szCs w:val="28"/>
        </w:rPr>
        <w:t>Communicating access requirements for students</w:t>
      </w:r>
    </w:p>
    <w:p w14:paraId="6A6C484C" w14:textId="3FFFD4A7" w:rsidR="005828AB" w:rsidRDefault="005828AB" w:rsidP="005828AB">
      <w:pPr>
        <w:rPr>
          <w:rFonts w:ascii="Arial" w:hAnsi="Arial" w:cs="Arial"/>
        </w:rPr>
      </w:pPr>
      <w:r w:rsidRPr="005828AB">
        <w:rPr>
          <w:rFonts w:ascii="Arial" w:hAnsi="Arial" w:cs="Arial"/>
        </w:rPr>
        <w:t>Disability Advisers will identify access requirements for students who have disclosed their disability to the University. These access requirements are identified to ensure that disabled students can access their studies and are not disadvantaged in comparison to their non-disabled peers.</w:t>
      </w:r>
      <w:r>
        <w:rPr>
          <w:rFonts w:ascii="Arial" w:hAnsi="Arial" w:cs="Arial"/>
        </w:rPr>
        <w:t xml:space="preserve"> Recommendations appear on Student Support Documents (SSDs) which are</w:t>
      </w:r>
      <w:r w:rsidR="00473B25">
        <w:rPr>
          <w:rFonts w:ascii="Arial" w:hAnsi="Arial" w:cs="Arial"/>
        </w:rPr>
        <w:t xml:space="preserve"> added to the student’s record on CamSIS and can be viewed by staff with the appropriate access (and recommendations can be forwarded on to anyone who needs to see them if they do not have access to CamSIS).</w:t>
      </w:r>
    </w:p>
    <w:p w14:paraId="548DF118" w14:textId="77777777" w:rsidR="00473B25" w:rsidRDefault="00473B25" w:rsidP="005828AB">
      <w:pPr>
        <w:rPr>
          <w:rFonts w:ascii="Arial" w:hAnsi="Arial" w:cs="Arial"/>
        </w:rPr>
      </w:pPr>
    </w:p>
    <w:p w14:paraId="1F90BE07" w14:textId="23A77626" w:rsidR="005828AB" w:rsidRPr="005828AB" w:rsidRDefault="005828AB" w:rsidP="005828AB">
      <w:pPr>
        <w:rPr>
          <w:rFonts w:ascii="Arial" w:hAnsi="Arial" w:cs="Arial"/>
        </w:rPr>
      </w:pPr>
      <w:r>
        <w:rPr>
          <w:rFonts w:ascii="Arial" w:hAnsi="Arial" w:cs="Arial"/>
        </w:rPr>
        <w:t xml:space="preserve">Further </w:t>
      </w:r>
      <w:hyperlink r:id="rId18" w:history="1">
        <w:r w:rsidRPr="005828AB">
          <w:rPr>
            <w:rStyle w:val="Hyperlink"/>
            <w:rFonts w:ascii="Arial" w:hAnsi="Arial" w:cs="Arial"/>
          </w:rPr>
          <w:t>information on student support documents</w:t>
        </w:r>
      </w:hyperlink>
      <w:r>
        <w:rPr>
          <w:rFonts w:ascii="Arial" w:hAnsi="Arial" w:cs="Arial"/>
        </w:rPr>
        <w:t xml:space="preserve"> is available on the ADRC website. </w:t>
      </w:r>
      <w:hyperlink r:id="rId19" w:history="1">
        <w:r w:rsidRPr="005828AB">
          <w:rPr>
            <w:rStyle w:val="Hyperlink"/>
            <w:rFonts w:ascii="Arial" w:hAnsi="Arial" w:cs="Arial"/>
          </w:rPr>
          <w:t>Training on student support documents</w:t>
        </w:r>
      </w:hyperlink>
      <w:r w:rsidRPr="005828AB">
        <w:rPr>
          <w:rFonts w:ascii="Arial" w:hAnsi="Arial" w:cs="Arial"/>
        </w:rPr>
        <w:t xml:space="preserve"> is available on Moodle</w:t>
      </w:r>
    </w:p>
    <w:p w14:paraId="21A09500" w14:textId="74E8207F" w:rsidR="00A8215C" w:rsidRPr="005828AB" w:rsidRDefault="00A8215C" w:rsidP="00232852">
      <w:pPr>
        <w:pStyle w:val="Heading1"/>
        <w:numPr>
          <w:ilvl w:val="0"/>
          <w:numId w:val="7"/>
        </w:numPr>
        <w:rPr>
          <w:rFonts w:cs="Arial"/>
          <w:szCs w:val="28"/>
        </w:rPr>
      </w:pPr>
      <w:r w:rsidRPr="005828AB">
        <w:rPr>
          <w:rFonts w:cs="Arial"/>
          <w:szCs w:val="28"/>
        </w:rPr>
        <w:t>Considering reasonableness</w:t>
      </w:r>
    </w:p>
    <w:p w14:paraId="2880DE71" w14:textId="77777777" w:rsidR="00A8215C" w:rsidRPr="00D05EFE" w:rsidRDefault="00A8215C" w:rsidP="004F1068">
      <w:pPr>
        <w:ind w:left="360"/>
        <w:rPr>
          <w:rFonts w:ascii="Arial" w:hAnsi="Arial" w:cs="Arial"/>
        </w:rPr>
      </w:pPr>
      <w:r w:rsidRPr="00D05EFE">
        <w:rPr>
          <w:rFonts w:ascii="Arial" w:hAnsi="Arial" w:cs="Arial"/>
        </w:rPr>
        <w:t>Factors to consider include:</w:t>
      </w:r>
    </w:p>
    <w:p w14:paraId="72E26CCA"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Competence standard or Provision, Criteria or Practice?</w:t>
      </w:r>
    </w:p>
    <w:p w14:paraId="7374761E"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Health and Safety considerations</w:t>
      </w:r>
    </w:p>
    <w:p w14:paraId="55E45D1A"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Efficacy</w:t>
      </w:r>
    </w:p>
    <w:p w14:paraId="34D48031"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lastRenderedPageBreak/>
        <w:t>The financial and other costs of making the adjustment</w:t>
      </w:r>
    </w:p>
    <w:p w14:paraId="5746B828"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 xml:space="preserve">The resources of the education provider </w:t>
      </w:r>
    </w:p>
    <w:p w14:paraId="4F13C6FF" w14:textId="7F2DBE65"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 xml:space="preserve">Practice across the </w:t>
      </w:r>
      <w:r w:rsidR="00E80099">
        <w:rPr>
          <w:rFonts w:ascii="Arial" w:hAnsi="Arial" w:cs="Arial"/>
        </w:rPr>
        <w:t xml:space="preserve">UK </w:t>
      </w:r>
      <w:r w:rsidRPr="00D05EFE">
        <w:rPr>
          <w:rFonts w:ascii="Arial" w:hAnsi="Arial" w:cs="Arial"/>
        </w:rPr>
        <w:t>H</w:t>
      </w:r>
      <w:r w:rsidR="00E80099">
        <w:rPr>
          <w:rFonts w:ascii="Arial" w:hAnsi="Arial" w:cs="Arial"/>
        </w:rPr>
        <w:t xml:space="preserve">igher </w:t>
      </w:r>
      <w:r w:rsidRPr="00D05EFE">
        <w:rPr>
          <w:rFonts w:ascii="Arial" w:hAnsi="Arial" w:cs="Arial"/>
        </w:rPr>
        <w:t>E</w:t>
      </w:r>
      <w:r w:rsidR="00E80099">
        <w:rPr>
          <w:rFonts w:ascii="Arial" w:hAnsi="Arial" w:cs="Arial"/>
        </w:rPr>
        <w:t>ducation</w:t>
      </w:r>
      <w:r w:rsidRPr="00D05EFE">
        <w:rPr>
          <w:rFonts w:ascii="Arial" w:hAnsi="Arial" w:cs="Arial"/>
        </w:rPr>
        <w:t xml:space="preserve"> sector</w:t>
      </w:r>
    </w:p>
    <w:p w14:paraId="44C61721"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Relevant OIA</w:t>
      </w:r>
      <w:r w:rsidR="004F1068" w:rsidRPr="00D05EFE">
        <w:rPr>
          <w:rFonts w:ascii="Arial" w:hAnsi="Arial" w:cs="Arial"/>
        </w:rPr>
        <w:t xml:space="preserve"> (Office of the Independent Adjudicator)</w:t>
      </w:r>
      <w:r w:rsidRPr="00D05EFE">
        <w:rPr>
          <w:rFonts w:ascii="Arial" w:hAnsi="Arial" w:cs="Arial"/>
        </w:rPr>
        <w:t xml:space="preserve"> and court judgements</w:t>
      </w:r>
    </w:p>
    <w:p w14:paraId="7E721571"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The costs of reasonable adjustments cannot be passed onto the disabled person</w:t>
      </w:r>
    </w:p>
    <w:p w14:paraId="79AD82B0" w14:textId="4A3B945D" w:rsidR="00A8215C" w:rsidRPr="00D05EFE" w:rsidRDefault="00E80099" w:rsidP="00AF1891">
      <w:pPr>
        <w:pStyle w:val="ListParagraph"/>
        <w:numPr>
          <w:ilvl w:val="0"/>
          <w:numId w:val="3"/>
        </w:numPr>
        <w:spacing w:line="276" w:lineRule="auto"/>
        <w:rPr>
          <w:rFonts w:ascii="Arial" w:hAnsi="Arial" w:cs="Arial"/>
        </w:rPr>
      </w:pPr>
      <w:r>
        <w:rPr>
          <w:rFonts w:ascii="Arial" w:hAnsi="Arial" w:cs="Arial"/>
        </w:rPr>
        <w:t>There is n</w:t>
      </w:r>
      <w:r w:rsidR="00A8215C" w:rsidRPr="00D05EFE">
        <w:rPr>
          <w:rFonts w:ascii="Arial" w:hAnsi="Arial" w:cs="Arial"/>
        </w:rPr>
        <w:t>o legal defence for not making a reasonable adjustment</w:t>
      </w:r>
    </w:p>
    <w:p w14:paraId="107B96D9" w14:textId="77777777" w:rsidR="00A8215C" w:rsidRPr="00D05EFE" w:rsidRDefault="00A8215C" w:rsidP="00AF1891">
      <w:pPr>
        <w:pStyle w:val="ListParagraph"/>
        <w:numPr>
          <w:ilvl w:val="0"/>
          <w:numId w:val="3"/>
        </w:numPr>
        <w:spacing w:line="276" w:lineRule="auto"/>
        <w:rPr>
          <w:rFonts w:ascii="Arial" w:hAnsi="Arial" w:cs="Arial"/>
        </w:rPr>
      </w:pPr>
      <w:r w:rsidRPr="00D05EFE">
        <w:rPr>
          <w:rFonts w:ascii="Arial" w:hAnsi="Arial" w:cs="Arial"/>
        </w:rPr>
        <w:t>The provisions of the Equality Act apply equally to international students</w:t>
      </w:r>
    </w:p>
    <w:p w14:paraId="4871D3D2" w14:textId="77777777" w:rsidR="00A8215C" w:rsidRPr="00812550" w:rsidRDefault="00A8215C" w:rsidP="00232852">
      <w:pPr>
        <w:pStyle w:val="Heading1"/>
        <w:numPr>
          <w:ilvl w:val="0"/>
          <w:numId w:val="7"/>
        </w:numPr>
        <w:rPr>
          <w:rFonts w:cs="Arial"/>
        </w:rPr>
      </w:pPr>
      <w:r w:rsidRPr="00812550">
        <w:rPr>
          <w:rFonts w:cs="Arial"/>
        </w:rPr>
        <w:t>Key questions when considering requests for adjustments</w:t>
      </w:r>
    </w:p>
    <w:p w14:paraId="51D7FF6C" w14:textId="77777777" w:rsidR="00D94000" w:rsidRPr="00D05EFE" w:rsidRDefault="000B424C" w:rsidP="00AF1891">
      <w:pPr>
        <w:numPr>
          <w:ilvl w:val="0"/>
          <w:numId w:val="9"/>
        </w:numPr>
        <w:spacing w:line="276" w:lineRule="auto"/>
        <w:rPr>
          <w:rFonts w:ascii="Arial" w:hAnsi="Arial" w:cs="Arial"/>
        </w:rPr>
      </w:pPr>
      <w:r w:rsidRPr="00D05EFE">
        <w:rPr>
          <w:rFonts w:ascii="Arial" w:hAnsi="Arial" w:cs="Arial"/>
          <w:bCs/>
        </w:rPr>
        <w:t>Is the student disabled (do they fall under the legal definition)?</w:t>
      </w:r>
    </w:p>
    <w:p w14:paraId="666EADCB" w14:textId="77777777" w:rsidR="00D94000" w:rsidRPr="00D05EFE" w:rsidRDefault="000B424C" w:rsidP="00AF1891">
      <w:pPr>
        <w:numPr>
          <w:ilvl w:val="0"/>
          <w:numId w:val="9"/>
        </w:numPr>
        <w:spacing w:line="276" w:lineRule="auto"/>
        <w:rPr>
          <w:rFonts w:ascii="Arial" w:hAnsi="Arial" w:cs="Arial"/>
        </w:rPr>
      </w:pPr>
      <w:r w:rsidRPr="00D05EFE">
        <w:rPr>
          <w:rFonts w:ascii="Arial" w:hAnsi="Arial" w:cs="Arial"/>
          <w:bCs/>
        </w:rPr>
        <w:t xml:space="preserve">Are they facing substantial disadvantage? </w:t>
      </w:r>
    </w:p>
    <w:p w14:paraId="3F0E439A" w14:textId="77777777" w:rsidR="00D94000" w:rsidRPr="00D05EFE" w:rsidRDefault="000B424C" w:rsidP="00AF1891">
      <w:pPr>
        <w:numPr>
          <w:ilvl w:val="0"/>
          <w:numId w:val="9"/>
        </w:numPr>
        <w:spacing w:line="276" w:lineRule="auto"/>
        <w:rPr>
          <w:rFonts w:ascii="Arial" w:hAnsi="Arial" w:cs="Arial"/>
        </w:rPr>
      </w:pPr>
      <w:r w:rsidRPr="00D05EFE">
        <w:rPr>
          <w:rFonts w:ascii="Arial" w:hAnsi="Arial" w:cs="Arial"/>
          <w:bCs/>
        </w:rPr>
        <w:t>Is the requested/suggested adjustment ‘reasonable’?</w:t>
      </w:r>
    </w:p>
    <w:p w14:paraId="21443247" w14:textId="77777777"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Is it possible to implement?</w:t>
      </w:r>
    </w:p>
    <w:p w14:paraId="5049A4A2" w14:textId="6060F039"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Is there an unreasonable financial cost</w:t>
      </w:r>
      <w:r w:rsidR="00AF1891" w:rsidRPr="00D05EFE">
        <w:rPr>
          <w:rStyle w:val="FootnoteReference"/>
          <w:rFonts w:ascii="Arial" w:hAnsi="Arial" w:cs="Arial"/>
          <w:bCs/>
        </w:rPr>
        <w:footnoteReference w:id="1"/>
      </w:r>
      <w:r w:rsidRPr="00D05EFE">
        <w:rPr>
          <w:rFonts w:ascii="Arial" w:hAnsi="Arial" w:cs="Arial"/>
          <w:bCs/>
        </w:rPr>
        <w:t>?</w:t>
      </w:r>
    </w:p>
    <w:p w14:paraId="343DC8B3" w14:textId="77777777"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Will the adjustment effectively reduce the disadvantage?</w:t>
      </w:r>
    </w:p>
    <w:p w14:paraId="41493971" w14:textId="77777777"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Does it affect a competence or academic standard?</w:t>
      </w:r>
    </w:p>
    <w:p w14:paraId="312D89A8" w14:textId="77777777"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Are there any health and safety considerations?</w:t>
      </w:r>
    </w:p>
    <w:p w14:paraId="3B06B132" w14:textId="5DB33B2A" w:rsidR="00D94000" w:rsidRPr="00D05EFE" w:rsidRDefault="000B424C" w:rsidP="00AF1891">
      <w:pPr>
        <w:numPr>
          <w:ilvl w:val="1"/>
          <w:numId w:val="5"/>
        </w:numPr>
        <w:spacing w:line="276" w:lineRule="auto"/>
        <w:rPr>
          <w:rFonts w:ascii="Arial" w:hAnsi="Arial" w:cs="Arial"/>
        </w:rPr>
      </w:pPr>
      <w:r w:rsidRPr="00D05EFE">
        <w:rPr>
          <w:rFonts w:ascii="Arial" w:hAnsi="Arial" w:cs="Arial"/>
          <w:bCs/>
        </w:rPr>
        <w:t>Does the adjustment confer any unfair advantage</w:t>
      </w:r>
      <w:r w:rsidR="00E80099">
        <w:rPr>
          <w:rFonts w:ascii="Arial" w:hAnsi="Arial" w:cs="Arial"/>
          <w:bCs/>
        </w:rPr>
        <w:t>?</w:t>
      </w:r>
    </w:p>
    <w:p w14:paraId="1FCE575B" w14:textId="655CB35C" w:rsidR="00602EA0" w:rsidRDefault="00AF1891" w:rsidP="00602EA0">
      <w:pPr>
        <w:pStyle w:val="Heading1"/>
        <w:numPr>
          <w:ilvl w:val="0"/>
          <w:numId w:val="7"/>
        </w:numPr>
      </w:pPr>
      <w:r>
        <w:t>Other u</w:t>
      </w:r>
      <w:r w:rsidR="00602EA0">
        <w:t xml:space="preserve">seful sources of information </w:t>
      </w:r>
    </w:p>
    <w:p w14:paraId="4D3B1235" w14:textId="59BD212C" w:rsidR="00602EA0" w:rsidRPr="005828AB" w:rsidRDefault="00602EA0" w:rsidP="001132E4">
      <w:pPr>
        <w:pStyle w:val="ListParagraph"/>
        <w:numPr>
          <w:ilvl w:val="0"/>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ADRC website: </w:t>
      </w:r>
      <w:hyperlink r:id="rId20" w:history="1">
        <w:r w:rsidRPr="005828AB">
          <w:rPr>
            <w:rFonts w:ascii="Arial" w:eastAsiaTheme="minorEastAsia" w:hAnsi="Arial" w:cs="Arial"/>
            <w:szCs w:val="30"/>
            <w:u w:val="single"/>
          </w:rPr>
          <w:t>www.disability.admin.cam.ac.uk</w:t>
        </w:r>
      </w:hyperlink>
      <w:r w:rsidRPr="005828AB">
        <w:rPr>
          <w:rFonts w:ascii="Arial" w:eastAsiaTheme="minorEastAsia" w:hAnsi="Arial" w:cs="Arial"/>
          <w:szCs w:val="30"/>
          <w:u w:val="single"/>
        </w:rPr>
        <w:t xml:space="preserve"> </w:t>
      </w:r>
      <w:r w:rsidRPr="005828AB">
        <w:rPr>
          <w:rFonts w:ascii="Arial" w:eastAsiaTheme="minorEastAsia" w:hAnsi="Arial" w:cs="Arial"/>
          <w:szCs w:val="30"/>
        </w:rPr>
        <w:t xml:space="preserve"> </w:t>
      </w:r>
    </w:p>
    <w:p w14:paraId="6E36620E" w14:textId="37106BFE" w:rsidR="00602EA0" w:rsidRPr="005828AB" w:rsidRDefault="00602EA0" w:rsidP="001132E4">
      <w:pPr>
        <w:pStyle w:val="ListParagraph"/>
        <w:numPr>
          <w:ilvl w:val="0"/>
          <w:numId w:val="12"/>
        </w:numPr>
        <w:kinsoku w:val="0"/>
        <w:overflowPunct w:val="0"/>
        <w:spacing w:before="120" w:after="240"/>
        <w:ind w:hanging="357"/>
        <w:textAlignment w:val="baseline"/>
        <w:rPr>
          <w:rFonts w:ascii="Arial" w:eastAsiaTheme="minorEastAsia" w:hAnsi="Arial" w:cs="Arial"/>
          <w:szCs w:val="30"/>
        </w:rPr>
      </w:pPr>
      <w:r w:rsidRPr="005828AB">
        <w:rPr>
          <w:rFonts w:ascii="Arial" w:eastAsiaTheme="minorEastAsia" w:hAnsi="Arial" w:cs="Arial"/>
          <w:szCs w:val="30"/>
        </w:rPr>
        <w:t xml:space="preserve">Code of Practice: Access &amp; Inclusion for Disabled Students </w:t>
      </w:r>
      <w:hyperlink r:id="rId21" w:history="1">
        <w:r w:rsidRPr="005828AB">
          <w:rPr>
            <w:rFonts w:ascii="Arial" w:eastAsiaTheme="minorEastAsia" w:hAnsi="Arial" w:cs="Arial"/>
            <w:szCs w:val="30"/>
            <w:u w:val="single"/>
          </w:rPr>
          <w:t>https://</w:t>
        </w:r>
      </w:hyperlink>
      <w:hyperlink r:id="rId22" w:history="1">
        <w:r w:rsidRPr="005828AB">
          <w:rPr>
            <w:rFonts w:ascii="Arial" w:eastAsiaTheme="minorEastAsia" w:hAnsi="Arial" w:cs="Arial"/>
            <w:szCs w:val="30"/>
            <w:u w:val="single"/>
          </w:rPr>
          <w:t>www.educationalpolicy.admin.cam.ac.uk/supporting-students/supporting-disabled-students</w:t>
        </w:r>
      </w:hyperlink>
      <w:r w:rsidRPr="005828AB">
        <w:rPr>
          <w:rFonts w:ascii="Arial" w:eastAsiaTheme="minorEastAsia" w:hAnsi="Arial" w:cs="Arial"/>
          <w:szCs w:val="30"/>
        </w:rPr>
        <w:t xml:space="preserve"> </w:t>
      </w:r>
    </w:p>
    <w:p w14:paraId="375C9505" w14:textId="77777777" w:rsidR="00602EA0" w:rsidRPr="005828AB" w:rsidRDefault="00602EA0" w:rsidP="001132E4">
      <w:pPr>
        <w:pStyle w:val="ListParagraph"/>
        <w:numPr>
          <w:ilvl w:val="0"/>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Managing Reasonable Adjustments in Higher Education Equality Challenge Unit: </w:t>
      </w:r>
      <w:hyperlink r:id="rId23" w:history="1">
        <w:r w:rsidRPr="005828AB">
          <w:rPr>
            <w:rFonts w:ascii="Arial" w:eastAsiaTheme="minorEastAsia" w:hAnsi="Arial" w:cs="Arial"/>
            <w:szCs w:val="30"/>
            <w:u w:val="single"/>
          </w:rPr>
          <w:t>http://www.ecu.ac.uk/publications/managing-reasonable-adjustments-in-higher-education</w:t>
        </w:r>
      </w:hyperlink>
      <w:r w:rsidRPr="005828AB">
        <w:rPr>
          <w:rFonts w:ascii="Arial" w:eastAsiaTheme="minorEastAsia" w:hAnsi="Arial" w:cs="Arial"/>
          <w:szCs w:val="30"/>
        </w:rPr>
        <w:t xml:space="preserve"> </w:t>
      </w:r>
    </w:p>
    <w:p w14:paraId="75CDA3E0" w14:textId="77777777" w:rsidR="00602EA0" w:rsidRPr="005828AB" w:rsidRDefault="00602EA0" w:rsidP="001132E4">
      <w:pPr>
        <w:pStyle w:val="ListParagraph"/>
        <w:numPr>
          <w:ilvl w:val="0"/>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Guidance on matters to be taken into account in determining questions relating to the definition of disability HM Govt, Office for Disability Issues: </w:t>
      </w:r>
      <w:hyperlink r:id="rId24" w:history="1">
        <w:r w:rsidRPr="005828AB">
          <w:rPr>
            <w:rFonts w:ascii="Arial" w:eastAsiaTheme="minorEastAsia" w:hAnsi="Arial" w:cs="Arial"/>
            <w:szCs w:val="30"/>
            <w:u w:val="single"/>
          </w:rPr>
          <w:t>http://odi.dwp.gov.uk/docs/wor/new/ea-guide.pdf</w:t>
        </w:r>
      </w:hyperlink>
      <w:r w:rsidRPr="005828AB">
        <w:rPr>
          <w:rFonts w:ascii="Arial" w:eastAsiaTheme="minorEastAsia" w:hAnsi="Arial" w:cs="Arial"/>
          <w:szCs w:val="30"/>
        </w:rPr>
        <w:t xml:space="preserve"> </w:t>
      </w:r>
    </w:p>
    <w:p w14:paraId="6D14B804" w14:textId="77777777" w:rsidR="00602EA0" w:rsidRPr="005828AB" w:rsidRDefault="00602EA0" w:rsidP="001132E4">
      <w:pPr>
        <w:pStyle w:val="ListParagraph"/>
        <w:numPr>
          <w:ilvl w:val="0"/>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EHRC Equality Act 2010 Technical Guidance on Further and Higher Education </w:t>
      </w:r>
      <w:hyperlink r:id="rId25" w:history="1">
        <w:r w:rsidRPr="005828AB">
          <w:rPr>
            <w:rFonts w:ascii="Arial" w:eastAsiaTheme="minorEastAsia" w:hAnsi="Arial" w:cs="Arial"/>
            <w:szCs w:val="30"/>
            <w:u w:val="single"/>
          </w:rPr>
          <w:t>https://www.equalityhumanrights.com/en/publication-download/equality-act-2010-technical-guidance-further-and-higher-education</w:t>
        </w:r>
      </w:hyperlink>
      <w:r w:rsidRPr="005828AB">
        <w:rPr>
          <w:rFonts w:ascii="Arial" w:eastAsiaTheme="minorEastAsia" w:hAnsi="Arial" w:cs="Arial"/>
          <w:szCs w:val="30"/>
        </w:rPr>
        <w:t xml:space="preserve"> </w:t>
      </w:r>
    </w:p>
    <w:p w14:paraId="12798E59" w14:textId="77777777" w:rsidR="001132E4" w:rsidRPr="005828AB" w:rsidRDefault="00602EA0" w:rsidP="001132E4">
      <w:pPr>
        <w:pStyle w:val="ListParagraph"/>
        <w:numPr>
          <w:ilvl w:val="0"/>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Moodle Resources: </w:t>
      </w:r>
    </w:p>
    <w:p w14:paraId="7FF0D93B" w14:textId="77777777" w:rsidR="001132E4" w:rsidRPr="005828AB" w:rsidRDefault="00602EA0" w:rsidP="001132E4">
      <w:pPr>
        <w:pStyle w:val="ListParagraph"/>
        <w:numPr>
          <w:ilvl w:val="1"/>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Teaching Disabled Students </w:t>
      </w:r>
      <w:hyperlink r:id="rId26" w:history="1">
        <w:r w:rsidRPr="005828AB">
          <w:rPr>
            <w:rFonts w:ascii="Arial" w:eastAsiaTheme="minorEastAsia" w:hAnsi="Arial" w:cs="Arial"/>
            <w:szCs w:val="30"/>
            <w:u w:val="single"/>
          </w:rPr>
          <w:t>https://</w:t>
        </w:r>
      </w:hyperlink>
      <w:hyperlink r:id="rId27" w:history="1">
        <w:r w:rsidRPr="005828AB">
          <w:rPr>
            <w:rFonts w:ascii="Arial" w:eastAsiaTheme="minorEastAsia" w:hAnsi="Arial" w:cs="Arial"/>
            <w:szCs w:val="30"/>
            <w:u w:val="single"/>
          </w:rPr>
          <w:t>www.vle.cam.ac.uk/course/view.php?id=88471</w:t>
        </w:r>
      </w:hyperlink>
    </w:p>
    <w:p w14:paraId="4EE4642B" w14:textId="0A2F68C9" w:rsidR="00602EA0" w:rsidRPr="005828AB" w:rsidRDefault="00602EA0" w:rsidP="001132E4">
      <w:pPr>
        <w:pStyle w:val="ListParagraph"/>
        <w:numPr>
          <w:ilvl w:val="1"/>
          <w:numId w:val="12"/>
        </w:numPr>
        <w:kinsoku w:val="0"/>
        <w:overflowPunct w:val="0"/>
        <w:spacing w:before="120" w:after="240"/>
        <w:ind w:hanging="357"/>
        <w:textAlignment w:val="baseline"/>
        <w:rPr>
          <w:rFonts w:ascii="Arial" w:hAnsi="Arial" w:cs="Arial"/>
          <w:sz w:val="20"/>
        </w:rPr>
      </w:pPr>
      <w:r w:rsidRPr="005828AB">
        <w:rPr>
          <w:rFonts w:ascii="Arial" w:eastAsiaTheme="minorEastAsia" w:hAnsi="Arial" w:cs="Arial"/>
          <w:szCs w:val="30"/>
        </w:rPr>
        <w:t xml:space="preserve">Inclusive Teaching and Learning </w:t>
      </w:r>
      <w:hyperlink r:id="rId28" w:history="1">
        <w:r w:rsidRPr="005828AB">
          <w:rPr>
            <w:rFonts w:ascii="Arial" w:eastAsiaTheme="minorEastAsia" w:hAnsi="Arial" w:cs="Arial"/>
            <w:szCs w:val="30"/>
            <w:u w:val="single"/>
          </w:rPr>
          <w:t>https://</w:t>
        </w:r>
      </w:hyperlink>
      <w:hyperlink r:id="rId29" w:history="1">
        <w:r w:rsidRPr="005828AB">
          <w:rPr>
            <w:rFonts w:ascii="Arial" w:eastAsiaTheme="minorEastAsia" w:hAnsi="Arial" w:cs="Arial"/>
            <w:szCs w:val="30"/>
            <w:u w:val="single"/>
          </w:rPr>
          <w:t>www.vle.cam.ac.uk/course/view.php?id=157882</w:t>
        </w:r>
      </w:hyperlink>
      <w:r w:rsidRPr="005828AB">
        <w:rPr>
          <w:rFonts w:ascii="Arial" w:eastAsiaTheme="minorEastAsia" w:hAnsi="Arial" w:cs="Arial"/>
          <w:szCs w:val="30"/>
        </w:rPr>
        <w:t xml:space="preserve"> </w:t>
      </w:r>
    </w:p>
    <w:p w14:paraId="2AD799E4" w14:textId="0653E493" w:rsidR="00602EA0" w:rsidRPr="00602EA0" w:rsidRDefault="00602EA0" w:rsidP="0011685A">
      <w:pPr>
        <w:pStyle w:val="ListParagraph"/>
        <w:numPr>
          <w:ilvl w:val="0"/>
          <w:numId w:val="12"/>
        </w:numPr>
        <w:kinsoku w:val="0"/>
        <w:overflowPunct w:val="0"/>
        <w:spacing w:before="120" w:after="240"/>
        <w:ind w:hanging="357"/>
        <w:textAlignment w:val="baseline"/>
      </w:pPr>
      <w:r w:rsidRPr="00E80099">
        <w:rPr>
          <w:rFonts w:ascii="Arial" w:eastAsiaTheme="minorEastAsia" w:hAnsi="Arial" w:cs="Arial"/>
          <w:szCs w:val="30"/>
        </w:rPr>
        <w:t xml:space="preserve">On-line information and resources:  </w:t>
      </w:r>
      <w:hyperlink r:id="rId30" w:history="1">
        <w:r w:rsidRPr="00E80099">
          <w:rPr>
            <w:rFonts w:ascii="Arial" w:eastAsiaTheme="minorEastAsia" w:hAnsi="Arial" w:cs="Arial"/>
            <w:szCs w:val="30"/>
            <w:u w:val="single"/>
          </w:rPr>
          <w:t>https://www.disability.admin.cam.ac.uk/teaching-disabled-students</w:t>
        </w:r>
      </w:hyperlink>
      <w:r w:rsidRPr="00E80099">
        <w:rPr>
          <w:rFonts w:ascii="Arial" w:eastAsiaTheme="minorEastAsia" w:hAnsi="Arial" w:cs="Arial"/>
          <w:szCs w:val="30"/>
        </w:rPr>
        <w:t xml:space="preserve"> </w:t>
      </w:r>
    </w:p>
    <w:sectPr w:rsidR="00602EA0" w:rsidRPr="00602EA0" w:rsidSect="00D05EFE">
      <w:headerReference w:type="default" r:id="rId31"/>
      <w:footerReference w:type="default" r:id="rId32"/>
      <w:pgSz w:w="11906" w:h="16838"/>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A7CDB" w14:textId="77777777" w:rsidR="004A558E" w:rsidRDefault="004A558E" w:rsidP="004A558E">
      <w:r>
        <w:separator/>
      </w:r>
    </w:p>
  </w:endnote>
  <w:endnote w:type="continuationSeparator" w:id="0">
    <w:p w14:paraId="3D86BB08" w14:textId="77777777" w:rsidR="004A558E" w:rsidRDefault="004A558E" w:rsidP="004A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2620"/>
      <w:docPartObj>
        <w:docPartGallery w:val="Page Numbers (Bottom of Page)"/>
        <w:docPartUnique/>
      </w:docPartObj>
    </w:sdtPr>
    <w:sdtContent>
      <w:sdt>
        <w:sdtPr>
          <w:id w:val="-1769616900"/>
          <w:docPartObj>
            <w:docPartGallery w:val="Page Numbers (Top of Page)"/>
            <w:docPartUnique/>
          </w:docPartObj>
        </w:sdtPr>
        <w:sdtContent>
          <w:p w14:paraId="73258DEC" w14:textId="3BDE51C9" w:rsidR="001132E4" w:rsidRDefault="001132E4">
            <w:pPr>
              <w:pStyle w:val="Footer"/>
              <w:jc w:val="right"/>
            </w:pPr>
            <w:r w:rsidRPr="001132E4">
              <w:rPr>
                <w:rFonts w:ascii="Arial" w:hAnsi="Arial" w:cs="Arial"/>
              </w:rPr>
              <w:t xml:space="preserve">Page </w:t>
            </w:r>
            <w:r w:rsidRPr="001132E4">
              <w:rPr>
                <w:rFonts w:ascii="Arial" w:hAnsi="Arial" w:cs="Arial"/>
                <w:b/>
                <w:bCs/>
              </w:rPr>
              <w:fldChar w:fldCharType="begin"/>
            </w:r>
            <w:r w:rsidRPr="001132E4">
              <w:rPr>
                <w:rFonts w:ascii="Arial" w:hAnsi="Arial" w:cs="Arial"/>
                <w:b/>
                <w:bCs/>
              </w:rPr>
              <w:instrText xml:space="preserve"> PAGE </w:instrText>
            </w:r>
            <w:r w:rsidRPr="001132E4">
              <w:rPr>
                <w:rFonts w:ascii="Arial" w:hAnsi="Arial" w:cs="Arial"/>
                <w:b/>
                <w:bCs/>
              </w:rPr>
              <w:fldChar w:fldCharType="separate"/>
            </w:r>
            <w:r w:rsidR="00E80099">
              <w:rPr>
                <w:rFonts w:ascii="Arial" w:hAnsi="Arial" w:cs="Arial"/>
                <w:b/>
                <w:bCs/>
                <w:noProof/>
              </w:rPr>
              <w:t>3</w:t>
            </w:r>
            <w:r w:rsidRPr="001132E4">
              <w:rPr>
                <w:rFonts w:ascii="Arial" w:hAnsi="Arial" w:cs="Arial"/>
                <w:b/>
                <w:bCs/>
              </w:rPr>
              <w:fldChar w:fldCharType="end"/>
            </w:r>
            <w:r w:rsidRPr="001132E4">
              <w:rPr>
                <w:rFonts w:ascii="Arial" w:hAnsi="Arial" w:cs="Arial"/>
              </w:rPr>
              <w:t xml:space="preserve"> of </w:t>
            </w:r>
            <w:r w:rsidRPr="001132E4">
              <w:rPr>
                <w:rFonts w:ascii="Arial" w:hAnsi="Arial" w:cs="Arial"/>
                <w:b/>
                <w:bCs/>
              </w:rPr>
              <w:fldChar w:fldCharType="begin"/>
            </w:r>
            <w:r w:rsidRPr="001132E4">
              <w:rPr>
                <w:rFonts w:ascii="Arial" w:hAnsi="Arial" w:cs="Arial"/>
                <w:b/>
                <w:bCs/>
              </w:rPr>
              <w:instrText xml:space="preserve"> NUMPAGES  </w:instrText>
            </w:r>
            <w:r w:rsidRPr="001132E4">
              <w:rPr>
                <w:rFonts w:ascii="Arial" w:hAnsi="Arial" w:cs="Arial"/>
                <w:b/>
                <w:bCs/>
              </w:rPr>
              <w:fldChar w:fldCharType="separate"/>
            </w:r>
            <w:r w:rsidR="00E80099">
              <w:rPr>
                <w:rFonts w:ascii="Arial" w:hAnsi="Arial" w:cs="Arial"/>
                <w:b/>
                <w:bCs/>
                <w:noProof/>
              </w:rPr>
              <w:t>3</w:t>
            </w:r>
            <w:r w:rsidRPr="001132E4">
              <w:rPr>
                <w:rFonts w:ascii="Arial" w:hAnsi="Arial" w:cs="Arial"/>
                <w:b/>
                <w:bCs/>
              </w:rPr>
              <w:fldChar w:fldCharType="end"/>
            </w:r>
          </w:p>
        </w:sdtContent>
      </w:sdt>
    </w:sdtContent>
  </w:sdt>
  <w:p w14:paraId="1F3D74C4" w14:textId="77777777" w:rsidR="004A558E" w:rsidRDefault="004A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2AB9" w14:textId="77777777" w:rsidR="004A558E" w:rsidRDefault="004A558E" w:rsidP="004A558E">
      <w:r>
        <w:separator/>
      </w:r>
    </w:p>
  </w:footnote>
  <w:footnote w:type="continuationSeparator" w:id="0">
    <w:p w14:paraId="7758EE6B" w14:textId="77777777" w:rsidR="004A558E" w:rsidRDefault="004A558E" w:rsidP="004A558E">
      <w:r>
        <w:continuationSeparator/>
      </w:r>
    </w:p>
  </w:footnote>
  <w:footnote w:id="1">
    <w:p w14:paraId="01EC9407" w14:textId="2D1CC1FB" w:rsidR="00AF1891" w:rsidRPr="00AF1891" w:rsidRDefault="00AF1891">
      <w:pPr>
        <w:pStyle w:val="FootnoteText"/>
        <w:rPr>
          <w:rFonts w:ascii="Arial" w:hAnsi="Arial" w:cs="Arial"/>
        </w:rPr>
      </w:pPr>
      <w:r w:rsidRPr="00AF1891">
        <w:rPr>
          <w:rStyle w:val="FootnoteReference"/>
          <w:rFonts w:ascii="Arial" w:hAnsi="Arial" w:cs="Arial"/>
        </w:rPr>
        <w:footnoteRef/>
      </w:r>
      <w:r w:rsidRPr="00AF1891">
        <w:rPr>
          <w:rFonts w:ascii="Arial" w:hAnsi="Arial" w:cs="Arial"/>
        </w:rPr>
        <w:t xml:space="preserve"> It is important to note that when determining whether the financial cost of an adjustment is reasonable or not the financial resources of the whole institution are taken into account, not specific departmental or assigned disability budgets.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A847" w14:textId="5F9999B5" w:rsidR="000B424C" w:rsidRDefault="00602EA0" w:rsidP="00602EA0">
    <w:pPr>
      <w:pStyle w:val="Header"/>
    </w:pPr>
    <w:r>
      <w:rPr>
        <w:noProof/>
      </w:rPr>
      <w:drawing>
        <wp:inline distT="0" distB="0" distL="0" distR="0" wp14:anchorId="65B64A9E" wp14:editId="57011543">
          <wp:extent cx="2407920" cy="518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9AB"/>
    <w:multiLevelType w:val="hybridMultilevel"/>
    <w:tmpl w:val="595A6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222D2"/>
    <w:multiLevelType w:val="hybridMultilevel"/>
    <w:tmpl w:val="F4CC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23FB"/>
    <w:multiLevelType w:val="hybridMultilevel"/>
    <w:tmpl w:val="345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68D"/>
    <w:multiLevelType w:val="hybridMultilevel"/>
    <w:tmpl w:val="EA5418EC"/>
    <w:lvl w:ilvl="0" w:tplc="5FFEF6DC">
      <w:start w:val="1"/>
      <w:numFmt w:val="bullet"/>
      <w:lvlText w:val="•"/>
      <w:lvlJc w:val="left"/>
      <w:pPr>
        <w:tabs>
          <w:tab w:val="num" w:pos="720"/>
        </w:tabs>
        <w:ind w:left="720" w:hanging="360"/>
      </w:pPr>
      <w:rPr>
        <w:rFonts w:ascii="Times New Roman" w:hAnsi="Times New Roman" w:hint="default"/>
      </w:rPr>
    </w:lvl>
    <w:lvl w:ilvl="1" w:tplc="DA660F84" w:tentative="1">
      <w:start w:val="1"/>
      <w:numFmt w:val="bullet"/>
      <w:lvlText w:val="•"/>
      <w:lvlJc w:val="left"/>
      <w:pPr>
        <w:tabs>
          <w:tab w:val="num" w:pos="1440"/>
        </w:tabs>
        <w:ind w:left="1440" w:hanging="360"/>
      </w:pPr>
      <w:rPr>
        <w:rFonts w:ascii="Times New Roman" w:hAnsi="Times New Roman" w:hint="default"/>
      </w:rPr>
    </w:lvl>
    <w:lvl w:ilvl="2" w:tplc="9BAA3EC6" w:tentative="1">
      <w:start w:val="1"/>
      <w:numFmt w:val="bullet"/>
      <w:lvlText w:val="•"/>
      <w:lvlJc w:val="left"/>
      <w:pPr>
        <w:tabs>
          <w:tab w:val="num" w:pos="2160"/>
        </w:tabs>
        <w:ind w:left="2160" w:hanging="360"/>
      </w:pPr>
      <w:rPr>
        <w:rFonts w:ascii="Times New Roman" w:hAnsi="Times New Roman" w:hint="default"/>
      </w:rPr>
    </w:lvl>
    <w:lvl w:ilvl="3" w:tplc="A8F8E77C" w:tentative="1">
      <w:start w:val="1"/>
      <w:numFmt w:val="bullet"/>
      <w:lvlText w:val="•"/>
      <w:lvlJc w:val="left"/>
      <w:pPr>
        <w:tabs>
          <w:tab w:val="num" w:pos="2880"/>
        </w:tabs>
        <w:ind w:left="2880" w:hanging="360"/>
      </w:pPr>
      <w:rPr>
        <w:rFonts w:ascii="Times New Roman" w:hAnsi="Times New Roman" w:hint="default"/>
      </w:rPr>
    </w:lvl>
    <w:lvl w:ilvl="4" w:tplc="1810721A" w:tentative="1">
      <w:start w:val="1"/>
      <w:numFmt w:val="bullet"/>
      <w:lvlText w:val="•"/>
      <w:lvlJc w:val="left"/>
      <w:pPr>
        <w:tabs>
          <w:tab w:val="num" w:pos="3600"/>
        </w:tabs>
        <w:ind w:left="3600" w:hanging="360"/>
      </w:pPr>
      <w:rPr>
        <w:rFonts w:ascii="Times New Roman" w:hAnsi="Times New Roman" w:hint="default"/>
      </w:rPr>
    </w:lvl>
    <w:lvl w:ilvl="5" w:tplc="C1BE2D00" w:tentative="1">
      <w:start w:val="1"/>
      <w:numFmt w:val="bullet"/>
      <w:lvlText w:val="•"/>
      <w:lvlJc w:val="left"/>
      <w:pPr>
        <w:tabs>
          <w:tab w:val="num" w:pos="4320"/>
        </w:tabs>
        <w:ind w:left="4320" w:hanging="360"/>
      </w:pPr>
      <w:rPr>
        <w:rFonts w:ascii="Times New Roman" w:hAnsi="Times New Roman" w:hint="default"/>
      </w:rPr>
    </w:lvl>
    <w:lvl w:ilvl="6" w:tplc="B694EBF2" w:tentative="1">
      <w:start w:val="1"/>
      <w:numFmt w:val="bullet"/>
      <w:lvlText w:val="•"/>
      <w:lvlJc w:val="left"/>
      <w:pPr>
        <w:tabs>
          <w:tab w:val="num" w:pos="5040"/>
        </w:tabs>
        <w:ind w:left="5040" w:hanging="360"/>
      </w:pPr>
      <w:rPr>
        <w:rFonts w:ascii="Times New Roman" w:hAnsi="Times New Roman" w:hint="default"/>
      </w:rPr>
    </w:lvl>
    <w:lvl w:ilvl="7" w:tplc="4434D2B0" w:tentative="1">
      <w:start w:val="1"/>
      <w:numFmt w:val="bullet"/>
      <w:lvlText w:val="•"/>
      <w:lvlJc w:val="left"/>
      <w:pPr>
        <w:tabs>
          <w:tab w:val="num" w:pos="5760"/>
        </w:tabs>
        <w:ind w:left="5760" w:hanging="360"/>
      </w:pPr>
      <w:rPr>
        <w:rFonts w:ascii="Times New Roman" w:hAnsi="Times New Roman" w:hint="default"/>
      </w:rPr>
    </w:lvl>
    <w:lvl w:ilvl="8" w:tplc="5FB29D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4D522A"/>
    <w:multiLevelType w:val="hybridMultilevel"/>
    <w:tmpl w:val="D59A1B42"/>
    <w:lvl w:ilvl="0" w:tplc="38743B8A">
      <w:start w:val="1"/>
      <w:numFmt w:val="bullet"/>
      <w:lvlText w:val="•"/>
      <w:lvlJc w:val="left"/>
      <w:pPr>
        <w:tabs>
          <w:tab w:val="num" w:pos="720"/>
        </w:tabs>
        <w:ind w:left="720" w:hanging="360"/>
      </w:pPr>
      <w:rPr>
        <w:rFonts w:ascii="Times New Roman" w:hAnsi="Times New Roman" w:hint="default"/>
      </w:rPr>
    </w:lvl>
    <w:lvl w:ilvl="1" w:tplc="7DEE8D6A">
      <w:start w:val="1"/>
      <w:numFmt w:val="bullet"/>
      <w:lvlText w:val="•"/>
      <w:lvlJc w:val="left"/>
      <w:pPr>
        <w:tabs>
          <w:tab w:val="num" w:pos="1440"/>
        </w:tabs>
        <w:ind w:left="1440" w:hanging="360"/>
      </w:pPr>
      <w:rPr>
        <w:rFonts w:ascii="Times New Roman" w:hAnsi="Times New Roman" w:hint="default"/>
      </w:rPr>
    </w:lvl>
    <w:lvl w:ilvl="2" w:tplc="A004259E" w:tentative="1">
      <w:start w:val="1"/>
      <w:numFmt w:val="bullet"/>
      <w:lvlText w:val="•"/>
      <w:lvlJc w:val="left"/>
      <w:pPr>
        <w:tabs>
          <w:tab w:val="num" w:pos="2160"/>
        </w:tabs>
        <w:ind w:left="2160" w:hanging="360"/>
      </w:pPr>
      <w:rPr>
        <w:rFonts w:ascii="Times New Roman" w:hAnsi="Times New Roman" w:hint="default"/>
      </w:rPr>
    </w:lvl>
    <w:lvl w:ilvl="3" w:tplc="7F485430" w:tentative="1">
      <w:start w:val="1"/>
      <w:numFmt w:val="bullet"/>
      <w:lvlText w:val="•"/>
      <w:lvlJc w:val="left"/>
      <w:pPr>
        <w:tabs>
          <w:tab w:val="num" w:pos="2880"/>
        </w:tabs>
        <w:ind w:left="2880" w:hanging="360"/>
      </w:pPr>
      <w:rPr>
        <w:rFonts w:ascii="Times New Roman" w:hAnsi="Times New Roman" w:hint="default"/>
      </w:rPr>
    </w:lvl>
    <w:lvl w:ilvl="4" w:tplc="3552F43C" w:tentative="1">
      <w:start w:val="1"/>
      <w:numFmt w:val="bullet"/>
      <w:lvlText w:val="•"/>
      <w:lvlJc w:val="left"/>
      <w:pPr>
        <w:tabs>
          <w:tab w:val="num" w:pos="3600"/>
        </w:tabs>
        <w:ind w:left="3600" w:hanging="360"/>
      </w:pPr>
      <w:rPr>
        <w:rFonts w:ascii="Times New Roman" w:hAnsi="Times New Roman" w:hint="default"/>
      </w:rPr>
    </w:lvl>
    <w:lvl w:ilvl="5" w:tplc="6A465858" w:tentative="1">
      <w:start w:val="1"/>
      <w:numFmt w:val="bullet"/>
      <w:lvlText w:val="•"/>
      <w:lvlJc w:val="left"/>
      <w:pPr>
        <w:tabs>
          <w:tab w:val="num" w:pos="4320"/>
        </w:tabs>
        <w:ind w:left="4320" w:hanging="360"/>
      </w:pPr>
      <w:rPr>
        <w:rFonts w:ascii="Times New Roman" w:hAnsi="Times New Roman" w:hint="default"/>
      </w:rPr>
    </w:lvl>
    <w:lvl w:ilvl="6" w:tplc="B10ED2B8" w:tentative="1">
      <w:start w:val="1"/>
      <w:numFmt w:val="bullet"/>
      <w:lvlText w:val="•"/>
      <w:lvlJc w:val="left"/>
      <w:pPr>
        <w:tabs>
          <w:tab w:val="num" w:pos="5040"/>
        </w:tabs>
        <w:ind w:left="5040" w:hanging="360"/>
      </w:pPr>
      <w:rPr>
        <w:rFonts w:ascii="Times New Roman" w:hAnsi="Times New Roman" w:hint="default"/>
      </w:rPr>
    </w:lvl>
    <w:lvl w:ilvl="7" w:tplc="8528ECE8" w:tentative="1">
      <w:start w:val="1"/>
      <w:numFmt w:val="bullet"/>
      <w:lvlText w:val="•"/>
      <w:lvlJc w:val="left"/>
      <w:pPr>
        <w:tabs>
          <w:tab w:val="num" w:pos="5760"/>
        </w:tabs>
        <w:ind w:left="5760" w:hanging="360"/>
      </w:pPr>
      <w:rPr>
        <w:rFonts w:ascii="Times New Roman" w:hAnsi="Times New Roman" w:hint="default"/>
      </w:rPr>
    </w:lvl>
    <w:lvl w:ilvl="8" w:tplc="1D1C34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7974FC"/>
    <w:multiLevelType w:val="hybridMultilevel"/>
    <w:tmpl w:val="848E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232EB"/>
    <w:multiLevelType w:val="hybridMultilevel"/>
    <w:tmpl w:val="319C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41003"/>
    <w:multiLevelType w:val="hybridMultilevel"/>
    <w:tmpl w:val="EFC06228"/>
    <w:lvl w:ilvl="0" w:tplc="A5EA76DC">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B5EFB46">
      <w:start w:val="767"/>
      <w:numFmt w:val="bullet"/>
      <w:lvlText w:val="•"/>
      <w:lvlJc w:val="left"/>
      <w:pPr>
        <w:tabs>
          <w:tab w:val="num" w:pos="2160"/>
        </w:tabs>
        <w:ind w:left="2160" w:hanging="360"/>
      </w:pPr>
      <w:rPr>
        <w:rFonts w:ascii="Times New Roman" w:hAnsi="Times New Roman" w:hint="default"/>
      </w:rPr>
    </w:lvl>
    <w:lvl w:ilvl="3" w:tplc="4894BBBC" w:tentative="1">
      <w:start w:val="1"/>
      <w:numFmt w:val="decimal"/>
      <w:lvlText w:val="%4."/>
      <w:lvlJc w:val="left"/>
      <w:pPr>
        <w:tabs>
          <w:tab w:val="num" w:pos="2880"/>
        </w:tabs>
        <w:ind w:left="2880" w:hanging="360"/>
      </w:pPr>
    </w:lvl>
    <w:lvl w:ilvl="4" w:tplc="AE3CBE5E" w:tentative="1">
      <w:start w:val="1"/>
      <w:numFmt w:val="decimal"/>
      <w:lvlText w:val="%5."/>
      <w:lvlJc w:val="left"/>
      <w:pPr>
        <w:tabs>
          <w:tab w:val="num" w:pos="3600"/>
        </w:tabs>
        <w:ind w:left="3600" w:hanging="360"/>
      </w:pPr>
    </w:lvl>
    <w:lvl w:ilvl="5" w:tplc="A582DE0C" w:tentative="1">
      <w:start w:val="1"/>
      <w:numFmt w:val="decimal"/>
      <w:lvlText w:val="%6."/>
      <w:lvlJc w:val="left"/>
      <w:pPr>
        <w:tabs>
          <w:tab w:val="num" w:pos="4320"/>
        </w:tabs>
        <w:ind w:left="4320" w:hanging="360"/>
      </w:pPr>
    </w:lvl>
    <w:lvl w:ilvl="6" w:tplc="18A4C16E" w:tentative="1">
      <w:start w:val="1"/>
      <w:numFmt w:val="decimal"/>
      <w:lvlText w:val="%7."/>
      <w:lvlJc w:val="left"/>
      <w:pPr>
        <w:tabs>
          <w:tab w:val="num" w:pos="5040"/>
        </w:tabs>
        <w:ind w:left="5040" w:hanging="360"/>
      </w:pPr>
    </w:lvl>
    <w:lvl w:ilvl="7" w:tplc="4122326A" w:tentative="1">
      <w:start w:val="1"/>
      <w:numFmt w:val="decimal"/>
      <w:lvlText w:val="%8."/>
      <w:lvlJc w:val="left"/>
      <w:pPr>
        <w:tabs>
          <w:tab w:val="num" w:pos="5760"/>
        </w:tabs>
        <w:ind w:left="5760" w:hanging="360"/>
      </w:pPr>
    </w:lvl>
    <w:lvl w:ilvl="8" w:tplc="6010A11A" w:tentative="1">
      <w:start w:val="1"/>
      <w:numFmt w:val="decimal"/>
      <w:lvlText w:val="%9."/>
      <w:lvlJc w:val="left"/>
      <w:pPr>
        <w:tabs>
          <w:tab w:val="num" w:pos="6480"/>
        </w:tabs>
        <w:ind w:left="6480" w:hanging="360"/>
      </w:pPr>
    </w:lvl>
  </w:abstractNum>
  <w:abstractNum w:abstractNumId="8" w15:restartNumberingAfterBreak="0">
    <w:nsid w:val="274B2F98"/>
    <w:multiLevelType w:val="hybridMultilevel"/>
    <w:tmpl w:val="43AEE8DA"/>
    <w:lvl w:ilvl="0" w:tplc="A5EA76DC">
      <w:start w:val="1"/>
      <w:numFmt w:val="decimal"/>
      <w:lvlText w:val="%1."/>
      <w:lvlJc w:val="left"/>
      <w:pPr>
        <w:tabs>
          <w:tab w:val="num" w:pos="720"/>
        </w:tabs>
        <w:ind w:left="720" w:hanging="360"/>
      </w:pPr>
    </w:lvl>
    <w:lvl w:ilvl="1" w:tplc="4D40E8F4">
      <w:start w:val="1"/>
      <w:numFmt w:val="decimal"/>
      <w:lvlText w:val="%2."/>
      <w:lvlJc w:val="left"/>
      <w:pPr>
        <w:tabs>
          <w:tab w:val="num" w:pos="1440"/>
        </w:tabs>
        <w:ind w:left="1440" w:hanging="360"/>
      </w:pPr>
    </w:lvl>
    <w:lvl w:ilvl="2" w:tplc="8B5EFB46">
      <w:start w:val="767"/>
      <w:numFmt w:val="bullet"/>
      <w:lvlText w:val="•"/>
      <w:lvlJc w:val="left"/>
      <w:pPr>
        <w:tabs>
          <w:tab w:val="num" w:pos="2160"/>
        </w:tabs>
        <w:ind w:left="2160" w:hanging="360"/>
      </w:pPr>
      <w:rPr>
        <w:rFonts w:ascii="Times New Roman" w:hAnsi="Times New Roman" w:hint="default"/>
      </w:rPr>
    </w:lvl>
    <w:lvl w:ilvl="3" w:tplc="4894BBBC" w:tentative="1">
      <w:start w:val="1"/>
      <w:numFmt w:val="decimal"/>
      <w:lvlText w:val="%4."/>
      <w:lvlJc w:val="left"/>
      <w:pPr>
        <w:tabs>
          <w:tab w:val="num" w:pos="2880"/>
        </w:tabs>
        <w:ind w:left="2880" w:hanging="360"/>
      </w:pPr>
    </w:lvl>
    <w:lvl w:ilvl="4" w:tplc="AE3CBE5E" w:tentative="1">
      <w:start w:val="1"/>
      <w:numFmt w:val="decimal"/>
      <w:lvlText w:val="%5."/>
      <w:lvlJc w:val="left"/>
      <w:pPr>
        <w:tabs>
          <w:tab w:val="num" w:pos="3600"/>
        </w:tabs>
        <w:ind w:left="3600" w:hanging="360"/>
      </w:pPr>
    </w:lvl>
    <w:lvl w:ilvl="5" w:tplc="A582DE0C" w:tentative="1">
      <w:start w:val="1"/>
      <w:numFmt w:val="decimal"/>
      <w:lvlText w:val="%6."/>
      <w:lvlJc w:val="left"/>
      <w:pPr>
        <w:tabs>
          <w:tab w:val="num" w:pos="4320"/>
        </w:tabs>
        <w:ind w:left="4320" w:hanging="360"/>
      </w:pPr>
    </w:lvl>
    <w:lvl w:ilvl="6" w:tplc="18A4C16E" w:tentative="1">
      <w:start w:val="1"/>
      <w:numFmt w:val="decimal"/>
      <w:lvlText w:val="%7."/>
      <w:lvlJc w:val="left"/>
      <w:pPr>
        <w:tabs>
          <w:tab w:val="num" w:pos="5040"/>
        </w:tabs>
        <w:ind w:left="5040" w:hanging="360"/>
      </w:pPr>
    </w:lvl>
    <w:lvl w:ilvl="7" w:tplc="4122326A" w:tentative="1">
      <w:start w:val="1"/>
      <w:numFmt w:val="decimal"/>
      <w:lvlText w:val="%8."/>
      <w:lvlJc w:val="left"/>
      <w:pPr>
        <w:tabs>
          <w:tab w:val="num" w:pos="5760"/>
        </w:tabs>
        <w:ind w:left="5760" w:hanging="360"/>
      </w:pPr>
    </w:lvl>
    <w:lvl w:ilvl="8" w:tplc="6010A11A" w:tentative="1">
      <w:start w:val="1"/>
      <w:numFmt w:val="decimal"/>
      <w:lvlText w:val="%9."/>
      <w:lvlJc w:val="left"/>
      <w:pPr>
        <w:tabs>
          <w:tab w:val="num" w:pos="6480"/>
        </w:tabs>
        <w:ind w:left="6480" w:hanging="360"/>
      </w:pPr>
    </w:lvl>
  </w:abstractNum>
  <w:abstractNum w:abstractNumId="9" w15:restartNumberingAfterBreak="0">
    <w:nsid w:val="29D917E5"/>
    <w:multiLevelType w:val="hybridMultilevel"/>
    <w:tmpl w:val="D1CC061A"/>
    <w:lvl w:ilvl="0" w:tplc="5290C0DE">
      <w:start w:val="1"/>
      <w:numFmt w:val="bullet"/>
      <w:lvlText w:val="•"/>
      <w:lvlJc w:val="left"/>
      <w:pPr>
        <w:tabs>
          <w:tab w:val="num" w:pos="720"/>
        </w:tabs>
        <w:ind w:left="720" w:hanging="360"/>
      </w:pPr>
      <w:rPr>
        <w:rFonts w:ascii="Times New Roman" w:hAnsi="Times New Roman" w:hint="default"/>
      </w:rPr>
    </w:lvl>
    <w:lvl w:ilvl="1" w:tplc="8C644DEE">
      <w:start w:val="1"/>
      <w:numFmt w:val="bullet"/>
      <w:lvlText w:val="•"/>
      <w:lvlJc w:val="left"/>
      <w:pPr>
        <w:tabs>
          <w:tab w:val="num" w:pos="1440"/>
        </w:tabs>
        <w:ind w:left="1440" w:hanging="360"/>
      </w:pPr>
      <w:rPr>
        <w:rFonts w:ascii="Times New Roman" w:hAnsi="Times New Roman" w:hint="default"/>
      </w:rPr>
    </w:lvl>
    <w:lvl w:ilvl="2" w:tplc="326CB3B0">
      <w:start w:val="1"/>
      <w:numFmt w:val="bullet"/>
      <w:lvlText w:val="•"/>
      <w:lvlJc w:val="left"/>
      <w:pPr>
        <w:tabs>
          <w:tab w:val="num" w:pos="2160"/>
        </w:tabs>
        <w:ind w:left="2160" w:hanging="360"/>
      </w:pPr>
      <w:rPr>
        <w:rFonts w:ascii="Times New Roman" w:hAnsi="Times New Roman" w:hint="default"/>
      </w:rPr>
    </w:lvl>
    <w:lvl w:ilvl="3" w:tplc="1F681864" w:tentative="1">
      <w:start w:val="1"/>
      <w:numFmt w:val="bullet"/>
      <w:lvlText w:val="•"/>
      <w:lvlJc w:val="left"/>
      <w:pPr>
        <w:tabs>
          <w:tab w:val="num" w:pos="2880"/>
        </w:tabs>
        <w:ind w:left="2880" w:hanging="360"/>
      </w:pPr>
      <w:rPr>
        <w:rFonts w:ascii="Times New Roman" w:hAnsi="Times New Roman" w:hint="default"/>
      </w:rPr>
    </w:lvl>
    <w:lvl w:ilvl="4" w:tplc="2AE04CBC" w:tentative="1">
      <w:start w:val="1"/>
      <w:numFmt w:val="bullet"/>
      <w:lvlText w:val="•"/>
      <w:lvlJc w:val="left"/>
      <w:pPr>
        <w:tabs>
          <w:tab w:val="num" w:pos="3600"/>
        </w:tabs>
        <w:ind w:left="3600" w:hanging="360"/>
      </w:pPr>
      <w:rPr>
        <w:rFonts w:ascii="Times New Roman" w:hAnsi="Times New Roman" w:hint="default"/>
      </w:rPr>
    </w:lvl>
    <w:lvl w:ilvl="5" w:tplc="5D7CB14E" w:tentative="1">
      <w:start w:val="1"/>
      <w:numFmt w:val="bullet"/>
      <w:lvlText w:val="•"/>
      <w:lvlJc w:val="left"/>
      <w:pPr>
        <w:tabs>
          <w:tab w:val="num" w:pos="4320"/>
        </w:tabs>
        <w:ind w:left="4320" w:hanging="360"/>
      </w:pPr>
      <w:rPr>
        <w:rFonts w:ascii="Times New Roman" w:hAnsi="Times New Roman" w:hint="default"/>
      </w:rPr>
    </w:lvl>
    <w:lvl w:ilvl="6" w:tplc="A5F66DB8" w:tentative="1">
      <w:start w:val="1"/>
      <w:numFmt w:val="bullet"/>
      <w:lvlText w:val="•"/>
      <w:lvlJc w:val="left"/>
      <w:pPr>
        <w:tabs>
          <w:tab w:val="num" w:pos="5040"/>
        </w:tabs>
        <w:ind w:left="5040" w:hanging="360"/>
      </w:pPr>
      <w:rPr>
        <w:rFonts w:ascii="Times New Roman" w:hAnsi="Times New Roman" w:hint="default"/>
      </w:rPr>
    </w:lvl>
    <w:lvl w:ilvl="7" w:tplc="C234E1AC" w:tentative="1">
      <w:start w:val="1"/>
      <w:numFmt w:val="bullet"/>
      <w:lvlText w:val="•"/>
      <w:lvlJc w:val="left"/>
      <w:pPr>
        <w:tabs>
          <w:tab w:val="num" w:pos="5760"/>
        </w:tabs>
        <w:ind w:left="5760" w:hanging="360"/>
      </w:pPr>
      <w:rPr>
        <w:rFonts w:ascii="Times New Roman" w:hAnsi="Times New Roman" w:hint="default"/>
      </w:rPr>
    </w:lvl>
    <w:lvl w:ilvl="8" w:tplc="280820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60653B"/>
    <w:multiLevelType w:val="hybridMultilevel"/>
    <w:tmpl w:val="B2AC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B360E"/>
    <w:multiLevelType w:val="hybridMultilevel"/>
    <w:tmpl w:val="479801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BB642A"/>
    <w:multiLevelType w:val="hybridMultilevel"/>
    <w:tmpl w:val="EED644E4"/>
    <w:lvl w:ilvl="0" w:tplc="4CDE40EC">
      <w:start w:val="1"/>
      <w:numFmt w:val="bullet"/>
      <w:lvlText w:val="•"/>
      <w:lvlJc w:val="left"/>
      <w:pPr>
        <w:tabs>
          <w:tab w:val="num" w:pos="720"/>
        </w:tabs>
        <w:ind w:left="720" w:hanging="360"/>
      </w:pPr>
      <w:rPr>
        <w:rFonts w:ascii="Times New Roman" w:hAnsi="Times New Roman" w:hint="default"/>
      </w:rPr>
    </w:lvl>
    <w:lvl w:ilvl="1" w:tplc="10444696" w:tentative="1">
      <w:start w:val="1"/>
      <w:numFmt w:val="bullet"/>
      <w:lvlText w:val="•"/>
      <w:lvlJc w:val="left"/>
      <w:pPr>
        <w:tabs>
          <w:tab w:val="num" w:pos="1440"/>
        </w:tabs>
        <w:ind w:left="1440" w:hanging="360"/>
      </w:pPr>
      <w:rPr>
        <w:rFonts w:ascii="Times New Roman" w:hAnsi="Times New Roman" w:hint="default"/>
      </w:rPr>
    </w:lvl>
    <w:lvl w:ilvl="2" w:tplc="53123996" w:tentative="1">
      <w:start w:val="1"/>
      <w:numFmt w:val="bullet"/>
      <w:lvlText w:val="•"/>
      <w:lvlJc w:val="left"/>
      <w:pPr>
        <w:tabs>
          <w:tab w:val="num" w:pos="2160"/>
        </w:tabs>
        <w:ind w:left="2160" w:hanging="360"/>
      </w:pPr>
      <w:rPr>
        <w:rFonts w:ascii="Times New Roman" w:hAnsi="Times New Roman" w:hint="default"/>
      </w:rPr>
    </w:lvl>
    <w:lvl w:ilvl="3" w:tplc="AB4C2FB0" w:tentative="1">
      <w:start w:val="1"/>
      <w:numFmt w:val="bullet"/>
      <w:lvlText w:val="•"/>
      <w:lvlJc w:val="left"/>
      <w:pPr>
        <w:tabs>
          <w:tab w:val="num" w:pos="2880"/>
        </w:tabs>
        <w:ind w:left="2880" w:hanging="360"/>
      </w:pPr>
      <w:rPr>
        <w:rFonts w:ascii="Times New Roman" w:hAnsi="Times New Roman" w:hint="default"/>
      </w:rPr>
    </w:lvl>
    <w:lvl w:ilvl="4" w:tplc="FDE4C83A" w:tentative="1">
      <w:start w:val="1"/>
      <w:numFmt w:val="bullet"/>
      <w:lvlText w:val="•"/>
      <w:lvlJc w:val="left"/>
      <w:pPr>
        <w:tabs>
          <w:tab w:val="num" w:pos="3600"/>
        </w:tabs>
        <w:ind w:left="3600" w:hanging="360"/>
      </w:pPr>
      <w:rPr>
        <w:rFonts w:ascii="Times New Roman" w:hAnsi="Times New Roman" w:hint="default"/>
      </w:rPr>
    </w:lvl>
    <w:lvl w:ilvl="5" w:tplc="DADA7A7C" w:tentative="1">
      <w:start w:val="1"/>
      <w:numFmt w:val="bullet"/>
      <w:lvlText w:val="•"/>
      <w:lvlJc w:val="left"/>
      <w:pPr>
        <w:tabs>
          <w:tab w:val="num" w:pos="4320"/>
        </w:tabs>
        <w:ind w:left="4320" w:hanging="360"/>
      </w:pPr>
      <w:rPr>
        <w:rFonts w:ascii="Times New Roman" w:hAnsi="Times New Roman" w:hint="default"/>
      </w:rPr>
    </w:lvl>
    <w:lvl w:ilvl="6" w:tplc="4942B616" w:tentative="1">
      <w:start w:val="1"/>
      <w:numFmt w:val="bullet"/>
      <w:lvlText w:val="•"/>
      <w:lvlJc w:val="left"/>
      <w:pPr>
        <w:tabs>
          <w:tab w:val="num" w:pos="5040"/>
        </w:tabs>
        <w:ind w:left="5040" w:hanging="360"/>
      </w:pPr>
      <w:rPr>
        <w:rFonts w:ascii="Times New Roman" w:hAnsi="Times New Roman" w:hint="default"/>
      </w:rPr>
    </w:lvl>
    <w:lvl w:ilvl="7" w:tplc="1CCE8426" w:tentative="1">
      <w:start w:val="1"/>
      <w:numFmt w:val="bullet"/>
      <w:lvlText w:val="•"/>
      <w:lvlJc w:val="left"/>
      <w:pPr>
        <w:tabs>
          <w:tab w:val="num" w:pos="5760"/>
        </w:tabs>
        <w:ind w:left="5760" w:hanging="360"/>
      </w:pPr>
      <w:rPr>
        <w:rFonts w:ascii="Times New Roman" w:hAnsi="Times New Roman" w:hint="default"/>
      </w:rPr>
    </w:lvl>
    <w:lvl w:ilvl="8" w:tplc="3EB044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D432B6"/>
    <w:multiLevelType w:val="hybridMultilevel"/>
    <w:tmpl w:val="7D5A6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563EA7"/>
    <w:multiLevelType w:val="hybridMultilevel"/>
    <w:tmpl w:val="B6EAD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A74AD8"/>
    <w:multiLevelType w:val="hybridMultilevel"/>
    <w:tmpl w:val="F9E2DA88"/>
    <w:lvl w:ilvl="0" w:tplc="0809001B">
      <w:start w:val="1"/>
      <w:numFmt w:val="lowerRoman"/>
      <w:lvlText w:val="%1."/>
      <w:lvlJc w:val="right"/>
      <w:pPr>
        <w:tabs>
          <w:tab w:val="num" w:pos="1080"/>
        </w:tabs>
        <w:ind w:left="1080" w:hanging="360"/>
      </w:pPr>
    </w:lvl>
    <w:lvl w:ilvl="1" w:tplc="4D40E8F4">
      <w:start w:val="1"/>
      <w:numFmt w:val="decimal"/>
      <w:lvlText w:val="%2."/>
      <w:lvlJc w:val="left"/>
      <w:pPr>
        <w:tabs>
          <w:tab w:val="num" w:pos="1800"/>
        </w:tabs>
        <w:ind w:left="1800" w:hanging="360"/>
      </w:pPr>
    </w:lvl>
    <w:lvl w:ilvl="2" w:tplc="8B5EFB46">
      <w:start w:val="767"/>
      <w:numFmt w:val="bullet"/>
      <w:lvlText w:val="•"/>
      <w:lvlJc w:val="left"/>
      <w:pPr>
        <w:tabs>
          <w:tab w:val="num" w:pos="2520"/>
        </w:tabs>
        <w:ind w:left="2520" w:hanging="360"/>
      </w:pPr>
      <w:rPr>
        <w:rFonts w:ascii="Times New Roman" w:hAnsi="Times New Roman" w:hint="default"/>
      </w:rPr>
    </w:lvl>
    <w:lvl w:ilvl="3" w:tplc="4894BBBC" w:tentative="1">
      <w:start w:val="1"/>
      <w:numFmt w:val="decimal"/>
      <w:lvlText w:val="%4."/>
      <w:lvlJc w:val="left"/>
      <w:pPr>
        <w:tabs>
          <w:tab w:val="num" w:pos="3240"/>
        </w:tabs>
        <w:ind w:left="3240" w:hanging="360"/>
      </w:pPr>
    </w:lvl>
    <w:lvl w:ilvl="4" w:tplc="AE3CBE5E" w:tentative="1">
      <w:start w:val="1"/>
      <w:numFmt w:val="decimal"/>
      <w:lvlText w:val="%5."/>
      <w:lvlJc w:val="left"/>
      <w:pPr>
        <w:tabs>
          <w:tab w:val="num" w:pos="3960"/>
        </w:tabs>
        <w:ind w:left="3960" w:hanging="360"/>
      </w:pPr>
    </w:lvl>
    <w:lvl w:ilvl="5" w:tplc="A582DE0C" w:tentative="1">
      <w:start w:val="1"/>
      <w:numFmt w:val="decimal"/>
      <w:lvlText w:val="%6."/>
      <w:lvlJc w:val="left"/>
      <w:pPr>
        <w:tabs>
          <w:tab w:val="num" w:pos="4680"/>
        </w:tabs>
        <w:ind w:left="4680" w:hanging="360"/>
      </w:pPr>
    </w:lvl>
    <w:lvl w:ilvl="6" w:tplc="18A4C16E" w:tentative="1">
      <w:start w:val="1"/>
      <w:numFmt w:val="decimal"/>
      <w:lvlText w:val="%7."/>
      <w:lvlJc w:val="left"/>
      <w:pPr>
        <w:tabs>
          <w:tab w:val="num" w:pos="5400"/>
        </w:tabs>
        <w:ind w:left="5400" w:hanging="360"/>
      </w:pPr>
    </w:lvl>
    <w:lvl w:ilvl="7" w:tplc="4122326A" w:tentative="1">
      <w:start w:val="1"/>
      <w:numFmt w:val="decimal"/>
      <w:lvlText w:val="%8."/>
      <w:lvlJc w:val="left"/>
      <w:pPr>
        <w:tabs>
          <w:tab w:val="num" w:pos="6120"/>
        </w:tabs>
        <w:ind w:left="6120" w:hanging="360"/>
      </w:pPr>
    </w:lvl>
    <w:lvl w:ilvl="8" w:tplc="6010A11A" w:tentative="1">
      <w:start w:val="1"/>
      <w:numFmt w:val="decimal"/>
      <w:lvlText w:val="%9."/>
      <w:lvlJc w:val="left"/>
      <w:pPr>
        <w:tabs>
          <w:tab w:val="num" w:pos="6840"/>
        </w:tabs>
        <w:ind w:left="6840" w:hanging="360"/>
      </w:pPr>
    </w:lvl>
  </w:abstractNum>
  <w:num w:numId="1">
    <w:abstractNumId w:val="4"/>
  </w:num>
  <w:num w:numId="2">
    <w:abstractNumId w:val="9"/>
  </w:num>
  <w:num w:numId="3">
    <w:abstractNumId w:val="5"/>
  </w:num>
  <w:num w:numId="4">
    <w:abstractNumId w:val="8"/>
  </w:num>
  <w:num w:numId="5">
    <w:abstractNumId w:val="7"/>
  </w:num>
  <w:num w:numId="6">
    <w:abstractNumId w:val="0"/>
  </w:num>
  <w:num w:numId="7">
    <w:abstractNumId w:val="11"/>
  </w:num>
  <w:num w:numId="8">
    <w:abstractNumId w:val="2"/>
  </w:num>
  <w:num w:numId="9">
    <w:abstractNumId w:val="15"/>
  </w:num>
  <w:num w:numId="10">
    <w:abstractNumId w:val="10"/>
  </w:num>
  <w:num w:numId="11">
    <w:abstractNumId w:val="6"/>
  </w:num>
  <w:num w:numId="12">
    <w:abstractNumId w:val="1"/>
  </w:num>
  <w:num w:numId="13">
    <w:abstractNumId w:val="12"/>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5C"/>
    <w:rsid w:val="000B424C"/>
    <w:rsid w:val="001132E4"/>
    <w:rsid w:val="00232852"/>
    <w:rsid w:val="002E0F7F"/>
    <w:rsid w:val="003F4C36"/>
    <w:rsid w:val="00473B25"/>
    <w:rsid w:val="004A558E"/>
    <w:rsid w:val="004F1068"/>
    <w:rsid w:val="005828AB"/>
    <w:rsid w:val="00602EA0"/>
    <w:rsid w:val="0072350C"/>
    <w:rsid w:val="00812550"/>
    <w:rsid w:val="00A8215C"/>
    <w:rsid w:val="00AF1891"/>
    <w:rsid w:val="00BB721F"/>
    <w:rsid w:val="00C8600A"/>
    <w:rsid w:val="00D05EFE"/>
    <w:rsid w:val="00D94000"/>
    <w:rsid w:val="00E80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D8D9E10"/>
  <w15:docId w15:val="{9E7C3368-BE8A-4802-A034-54B9807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02EA0"/>
    <w:pPr>
      <w:keepNext/>
      <w:keepLines/>
      <w:spacing w:before="240"/>
      <w:outlineLvl w:val="0"/>
    </w:pPr>
    <w:rPr>
      <w:rFonts w:ascii="Arial" w:eastAsiaTheme="majorEastAsia" w:hAnsi="Arial"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15C"/>
    <w:pPr>
      <w:spacing w:before="100" w:beforeAutospacing="1" w:after="100" w:afterAutospacing="1"/>
    </w:pPr>
  </w:style>
  <w:style w:type="paragraph" w:styleId="ListParagraph">
    <w:name w:val="List Paragraph"/>
    <w:basedOn w:val="Normal"/>
    <w:uiPriority w:val="34"/>
    <w:qFormat/>
    <w:rsid w:val="00A8215C"/>
    <w:pPr>
      <w:ind w:left="720"/>
      <w:contextualSpacing/>
    </w:pPr>
  </w:style>
  <w:style w:type="paragraph" w:styleId="Header">
    <w:name w:val="header"/>
    <w:basedOn w:val="Normal"/>
    <w:link w:val="HeaderChar"/>
    <w:rsid w:val="004A558E"/>
    <w:pPr>
      <w:tabs>
        <w:tab w:val="center" w:pos="4513"/>
        <w:tab w:val="right" w:pos="9026"/>
      </w:tabs>
    </w:pPr>
  </w:style>
  <w:style w:type="character" w:customStyle="1" w:styleId="HeaderChar">
    <w:name w:val="Header Char"/>
    <w:basedOn w:val="DefaultParagraphFont"/>
    <w:link w:val="Header"/>
    <w:rsid w:val="004A558E"/>
    <w:rPr>
      <w:sz w:val="24"/>
      <w:szCs w:val="24"/>
    </w:rPr>
  </w:style>
  <w:style w:type="paragraph" w:styleId="Footer">
    <w:name w:val="footer"/>
    <w:basedOn w:val="Normal"/>
    <w:link w:val="FooterChar"/>
    <w:uiPriority w:val="99"/>
    <w:rsid w:val="004A558E"/>
    <w:pPr>
      <w:tabs>
        <w:tab w:val="center" w:pos="4513"/>
        <w:tab w:val="right" w:pos="9026"/>
      </w:tabs>
    </w:pPr>
  </w:style>
  <w:style w:type="character" w:customStyle="1" w:styleId="FooterChar">
    <w:name w:val="Footer Char"/>
    <w:basedOn w:val="DefaultParagraphFont"/>
    <w:link w:val="Footer"/>
    <w:uiPriority w:val="99"/>
    <w:rsid w:val="004A558E"/>
    <w:rPr>
      <w:sz w:val="24"/>
      <w:szCs w:val="24"/>
    </w:rPr>
  </w:style>
  <w:style w:type="paragraph" w:styleId="BalloonText">
    <w:name w:val="Balloon Text"/>
    <w:basedOn w:val="Normal"/>
    <w:link w:val="BalloonTextChar"/>
    <w:rsid w:val="000B424C"/>
    <w:rPr>
      <w:rFonts w:ascii="Tahoma" w:hAnsi="Tahoma" w:cs="Tahoma"/>
      <w:sz w:val="16"/>
      <w:szCs w:val="16"/>
    </w:rPr>
  </w:style>
  <w:style w:type="character" w:customStyle="1" w:styleId="BalloonTextChar">
    <w:name w:val="Balloon Text Char"/>
    <w:basedOn w:val="DefaultParagraphFont"/>
    <w:link w:val="BalloonText"/>
    <w:rsid w:val="000B424C"/>
    <w:rPr>
      <w:rFonts w:ascii="Tahoma" w:hAnsi="Tahoma" w:cs="Tahoma"/>
      <w:sz w:val="16"/>
      <w:szCs w:val="16"/>
    </w:rPr>
  </w:style>
  <w:style w:type="paragraph" w:styleId="Title">
    <w:name w:val="Title"/>
    <w:basedOn w:val="Normal"/>
    <w:next w:val="Normal"/>
    <w:link w:val="TitleChar"/>
    <w:qFormat/>
    <w:rsid w:val="002328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328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602EA0"/>
    <w:rPr>
      <w:rFonts w:ascii="Arial" w:eastAsiaTheme="majorEastAsia" w:hAnsi="Arial" w:cstheme="majorBidi"/>
      <w:color w:val="365F91" w:themeColor="accent1" w:themeShade="BF"/>
      <w:sz w:val="32"/>
      <w:szCs w:val="32"/>
    </w:rPr>
  </w:style>
  <w:style w:type="character" w:styleId="Hyperlink">
    <w:name w:val="Hyperlink"/>
    <w:basedOn w:val="DefaultParagraphFont"/>
    <w:unhideWhenUsed/>
    <w:rsid w:val="004F1068"/>
    <w:rPr>
      <w:color w:val="0000FF" w:themeColor="hyperlink"/>
      <w:u w:val="single"/>
    </w:rPr>
  </w:style>
  <w:style w:type="character" w:styleId="CommentReference">
    <w:name w:val="annotation reference"/>
    <w:basedOn w:val="DefaultParagraphFont"/>
    <w:semiHidden/>
    <w:unhideWhenUsed/>
    <w:rsid w:val="00812550"/>
    <w:rPr>
      <w:sz w:val="16"/>
      <w:szCs w:val="16"/>
    </w:rPr>
  </w:style>
  <w:style w:type="paragraph" w:styleId="CommentText">
    <w:name w:val="annotation text"/>
    <w:basedOn w:val="Normal"/>
    <w:link w:val="CommentTextChar"/>
    <w:semiHidden/>
    <w:unhideWhenUsed/>
    <w:rsid w:val="00812550"/>
    <w:rPr>
      <w:sz w:val="20"/>
      <w:szCs w:val="20"/>
    </w:rPr>
  </w:style>
  <w:style w:type="character" w:customStyle="1" w:styleId="CommentTextChar">
    <w:name w:val="Comment Text Char"/>
    <w:basedOn w:val="DefaultParagraphFont"/>
    <w:link w:val="CommentText"/>
    <w:semiHidden/>
    <w:rsid w:val="00812550"/>
  </w:style>
  <w:style w:type="paragraph" w:styleId="CommentSubject">
    <w:name w:val="annotation subject"/>
    <w:basedOn w:val="CommentText"/>
    <w:next w:val="CommentText"/>
    <w:link w:val="CommentSubjectChar"/>
    <w:semiHidden/>
    <w:unhideWhenUsed/>
    <w:rsid w:val="00812550"/>
    <w:rPr>
      <w:b/>
      <w:bCs/>
    </w:rPr>
  </w:style>
  <w:style w:type="character" w:customStyle="1" w:styleId="CommentSubjectChar">
    <w:name w:val="Comment Subject Char"/>
    <w:basedOn w:val="CommentTextChar"/>
    <w:link w:val="CommentSubject"/>
    <w:semiHidden/>
    <w:rsid w:val="00812550"/>
    <w:rPr>
      <w:b/>
      <w:bCs/>
    </w:rPr>
  </w:style>
  <w:style w:type="paragraph" w:styleId="FootnoteText">
    <w:name w:val="footnote text"/>
    <w:basedOn w:val="Normal"/>
    <w:link w:val="FootnoteTextChar"/>
    <w:semiHidden/>
    <w:unhideWhenUsed/>
    <w:rsid w:val="00AF1891"/>
    <w:rPr>
      <w:sz w:val="20"/>
      <w:szCs w:val="20"/>
    </w:rPr>
  </w:style>
  <w:style w:type="character" w:customStyle="1" w:styleId="FootnoteTextChar">
    <w:name w:val="Footnote Text Char"/>
    <w:basedOn w:val="DefaultParagraphFont"/>
    <w:link w:val="FootnoteText"/>
    <w:semiHidden/>
    <w:rsid w:val="00AF1891"/>
  </w:style>
  <w:style w:type="character" w:styleId="FootnoteReference">
    <w:name w:val="footnote reference"/>
    <w:basedOn w:val="DefaultParagraphFont"/>
    <w:semiHidden/>
    <w:unhideWhenUsed/>
    <w:rsid w:val="00AF1891"/>
    <w:rPr>
      <w:vertAlign w:val="superscript"/>
    </w:rPr>
  </w:style>
  <w:style w:type="character" w:styleId="FollowedHyperlink">
    <w:name w:val="FollowedHyperlink"/>
    <w:basedOn w:val="DefaultParagraphFont"/>
    <w:semiHidden/>
    <w:unhideWhenUsed/>
    <w:rsid w:val="00AF1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7188">
      <w:bodyDiv w:val="1"/>
      <w:marLeft w:val="0"/>
      <w:marRight w:val="0"/>
      <w:marTop w:val="0"/>
      <w:marBottom w:val="0"/>
      <w:divBdr>
        <w:top w:val="none" w:sz="0" w:space="0" w:color="auto"/>
        <w:left w:val="none" w:sz="0" w:space="0" w:color="auto"/>
        <w:bottom w:val="none" w:sz="0" w:space="0" w:color="auto"/>
        <w:right w:val="none" w:sz="0" w:space="0" w:color="auto"/>
      </w:divBdr>
      <w:divsChild>
        <w:div w:id="1355689267">
          <w:marLeft w:val="965"/>
          <w:marRight w:val="0"/>
          <w:marTop w:val="120"/>
          <w:marBottom w:val="120"/>
          <w:divBdr>
            <w:top w:val="none" w:sz="0" w:space="0" w:color="auto"/>
            <w:left w:val="none" w:sz="0" w:space="0" w:color="auto"/>
            <w:bottom w:val="none" w:sz="0" w:space="0" w:color="auto"/>
            <w:right w:val="none" w:sz="0" w:space="0" w:color="auto"/>
          </w:divBdr>
        </w:div>
        <w:div w:id="923153045">
          <w:marLeft w:val="965"/>
          <w:marRight w:val="0"/>
          <w:marTop w:val="120"/>
          <w:marBottom w:val="120"/>
          <w:divBdr>
            <w:top w:val="none" w:sz="0" w:space="0" w:color="auto"/>
            <w:left w:val="none" w:sz="0" w:space="0" w:color="auto"/>
            <w:bottom w:val="none" w:sz="0" w:space="0" w:color="auto"/>
            <w:right w:val="none" w:sz="0" w:space="0" w:color="auto"/>
          </w:divBdr>
        </w:div>
        <w:div w:id="999969916">
          <w:marLeft w:val="965"/>
          <w:marRight w:val="0"/>
          <w:marTop w:val="120"/>
          <w:marBottom w:val="120"/>
          <w:divBdr>
            <w:top w:val="none" w:sz="0" w:space="0" w:color="auto"/>
            <w:left w:val="none" w:sz="0" w:space="0" w:color="auto"/>
            <w:bottom w:val="none" w:sz="0" w:space="0" w:color="auto"/>
            <w:right w:val="none" w:sz="0" w:space="0" w:color="auto"/>
          </w:divBdr>
        </w:div>
        <w:div w:id="896011926">
          <w:marLeft w:val="965"/>
          <w:marRight w:val="0"/>
          <w:marTop w:val="120"/>
          <w:marBottom w:val="120"/>
          <w:divBdr>
            <w:top w:val="none" w:sz="0" w:space="0" w:color="auto"/>
            <w:left w:val="none" w:sz="0" w:space="0" w:color="auto"/>
            <w:bottom w:val="none" w:sz="0" w:space="0" w:color="auto"/>
            <w:right w:val="none" w:sz="0" w:space="0" w:color="auto"/>
          </w:divBdr>
        </w:div>
        <w:div w:id="208340369">
          <w:marLeft w:val="965"/>
          <w:marRight w:val="0"/>
          <w:marTop w:val="120"/>
          <w:marBottom w:val="120"/>
          <w:divBdr>
            <w:top w:val="none" w:sz="0" w:space="0" w:color="auto"/>
            <w:left w:val="none" w:sz="0" w:space="0" w:color="auto"/>
            <w:bottom w:val="none" w:sz="0" w:space="0" w:color="auto"/>
            <w:right w:val="none" w:sz="0" w:space="0" w:color="auto"/>
          </w:divBdr>
        </w:div>
        <w:div w:id="2047946222">
          <w:marLeft w:val="965"/>
          <w:marRight w:val="0"/>
          <w:marTop w:val="120"/>
          <w:marBottom w:val="120"/>
          <w:divBdr>
            <w:top w:val="none" w:sz="0" w:space="0" w:color="auto"/>
            <w:left w:val="none" w:sz="0" w:space="0" w:color="auto"/>
            <w:bottom w:val="none" w:sz="0" w:space="0" w:color="auto"/>
            <w:right w:val="none" w:sz="0" w:space="0" w:color="auto"/>
          </w:divBdr>
        </w:div>
      </w:divsChild>
    </w:div>
    <w:div w:id="224797166">
      <w:bodyDiv w:val="1"/>
      <w:marLeft w:val="0"/>
      <w:marRight w:val="0"/>
      <w:marTop w:val="0"/>
      <w:marBottom w:val="0"/>
      <w:divBdr>
        <w:top w:val="none" w:sz="0" w:space="0" w:color="auto"/>
        <w:left w:val="none" w:sz="0" w:space="0" w:color="auto"/>
        <w:bottom w:val="none" w:sz="0" w:space="0" w:color="auto"/>
        <w:right w:val="none" w:sz="0" w:space="0" w:color="auto"/>
      </w:divBdr>
      <w:divsChild>
        <w:div w:id="939489526">
          <w:marLeft w:val="965"/>
          <w:marRight w:val="0"/>
          <w:marTop w:val="0"/>
          <w:marBottom w:val="360"/>
          <w:divBdr>
            <w:top w:val="none" w:sz="0" w:space="0" w:color="auto"/>
            <w:left w:val="none" w:sz="0" w:space="0" w:color="auto"/>
            <w:bottom w:val="none" w:sz="0" w:space="0" w:color="auto"/>
            <w:right w:val="none" w:sz="0" w:space="0" w:color="auto"/>
          </w:divBdr>
        </w:div>
        <w:div w:id="508445092">
          <w:marLeft w:val="965"/>
          <w:marRight w:val="0"/>
          <w:marTop w:val="0"/>
          <w:marBottom w:val="360"/>
          <w:divBdr>
            <w:top w:val="none" w:sz="0" w:space="0" w:color="auto"/>
            <w:left w:val="none" w:sz="0" w:space="0" w:color="auto"/>
            <w:bottom w:val="none" w:sz="0" w:space="0" w:color="auto"/>
            <w:right w:val="none" w:sz="0" w:space="0" w:color="auto"/>
          </w:divBdr>
        </w:div>
        <w:div w:id="546181083">
          <w:marLeft w:val="965"/>
          <w:marRight w:val="0"/>
          <w:marTop w:val="0"/>
          <w:marBottom w:val="360"/>
          <w:divBdr>
            <w:top w:val="none" w:sz="0" w:space="0" w:color="auto"/>
            <w:left w:val="none" w:sz="0" w:space="0" w:color="auto"/>
            <w:bottom w:val="none" w:sz="0" w:space="0" w:color="auto"/>
            <w:right w:val="none" w:sz="0" w:space="0" w:color="auto"/>
          </w:divBdr>
        </w:div>
        <w:div w:id="136650658">
          <w:marLeft w:val="1814"/>
          <w:marRight w:val="0"/>
          <w:marTop w:val="0"/>
          <w:marBottom w:val="360"/>
          <w:divBdr>
            <w:top w:val="none" w:sz="0" w:space="0" w:color="auto"/>
            <w:left w:val="none" w:sz="0" w:space="0" w:color="auto"/>
            <w:bottom w:val="none" w:sz="0" w:space="0" w:color="auto"/>
            <w:right w:val="none" w:sz="0" w:space="0" w:color="auto"/>
          </w:divBdr>
        </w:div>
        <w:div w:id="1647275123">
          <w:marLeft w:val="1814"/>
          <w:marRight w:val="0"/>
          <w:marTop w:val="0"/>
          <w:marBottom w:val="360"/>
          <w:divBdr>
            <w:top w:val="none" w:sz="0" w:space="0" w:color="auto"/>
            <w:left w:val="none" w:sz="0" w:space="0" w:color="auto"/>
            <w:bottom w:val="none" w:sz="0" w:space="0" w:color="auto"/>
            <w:right w:val="none" w:sz="0" w:space="0" w:color="auto"/>
          </w:divBdr>
        </w:div>
        <w:div w:id="1991010675">
          <w:marLeft w:val="1814"/>
          <w:marRight w:val="0"/>
          <w:marTop w:val="0"/>
          <w:marBottom w:val="360"/>
          <w:divBdr>
            <w:top w:val="none" w:sz="0" w:space="0" w:color="auto"/>
            <w:left w:val="none" w:sz="0" w:space="0" w:color="auto"/>
            <w:bottom w:val="none" w:sz="0" w:space="0" w:color="auto"/>
            <w:right w:val="none" w:sz="0" w:space="0" w:color="auto"/>
          </w:divBdr>
        </w:div>
        <w:div w:id="1231228786">
          <w:marLeft w:val="1814"/>
          <w:marRight w:val="0"/>
          <w:marTop w:val="0"/>
          <w:marBottom w:val="360"/>
          <w:divBdr>
            <w:top w:val="none" w:sz="0" w:space="0" w:color="auto"/>
            <w:left w:val="none" w:sz="0" w:space="0" w:color="auto"/>
            <w:bottom w:val="none" w:sz="0" w:space="0" w:color="auto"/>
            <w:right w:val="none" w:sz="0" w:space="0" w:color="auto"/>
          </w:divBdr>
        </w:div>
        <w:div w:id="598637543">
          <w:marLeft w:val="1814"/>
          <w:marRight w:val="0"/>
          <w:marTop w:val="0"/>
          <w:marBottom w:val="360"/>
          <w:divBdr>
            <w:top w:val="none" w:sz="0" w:space="0" w:color="auto"/>
            <w:left w:val="none" w:sz="0" w:space="0" w:color="auto"/>
            <w:bottom w:val="none" w:sz="0" w:space="0" w:color="auto"/>
            <w:right w:val="none" w:sz="0" w:space="0" w:color="auto"/>
          </w:divBdr>
        </w:div>
        <w:div w:id="991107441">
          <w:marLeft w:val="1814"/>
          <w:marRight w:val="0"/>
          <w:marTop w:val="0"/>
          <w:marBottom w:val="360"/>
          <w:divBdr>
            <w:top w:val="none" w:sz="0" w:space="0" w:color="auto"/>
            <w:left w:val="none" w:sz="0" w:space="0" w:color="auto"/>
            <w:bottom w:val="none" w:sz="0" w:space="0" w:color="auto"/>
            <w:right w:val="none" w:sz="0" w:space="0" w:color="auto"/>
          </w:divBdr>
        </w:div>
      </w:divsChild>
    </w:div>
    <w:div w:id="432091391">
      <w:bodyDiv w:val="1"/>
      <w:marLeft w:val="0"/>
      <w:marRight w:val="0"/>
      <w:marTop w:val="0"/>
      <w:marBottom w:val="0"/>
      <w:divBdr>
        <w:top w:val="none" w:sz="0" w:space="0" w:color="auto"/>
        <w:left w:val="none" w:sz="0" w:space="0" w:color="auto"/>
        <w:bottom w:val="none" w:sz="0" w:space="0" w:color="auto"/>
        <w:right w:val="none" w:sz="0" w:space="0" w:color="auto"/>
      </w:divBdr>
    </w:div>
    <w:div w:id="530149496">
      <w:bodyDiv w:val="1"/>
      <w:marLeft w:val="0"/>
      <w:marRight w:val="0"/>
      <w:marTop w:val="0"/>
      <w:marBottom w:val="0"/>
      <w:divBdr>
        <w:top w:val="none" w:sz="0" w:space="0" w:color="auto"/>
        <w:left w:val="none" w:sz="0" w:space="0" w:color="auto"/>
        <w:bottom w:val="none" w:sz="0" w:space="0" w:color="auto"/>
        <w:right w:val="none" w:sz="0" w:space="0" w:color="auto"/>
      </w:divBdr>
      <w:divsChild>
        <w:div w:id="1268343366">
          <w:marLeft w:val="1166"/>
          <w:marRight w:val="0"/>
          <w:marTop w:val="0"/>
          <w:marBottom w:val="396"/>
          <w:divBdr>
            <w:top w:val="none" w:sz="0" w:space="0" w:color="auto"/>
            <w:left w:val="none" w:sz="0" w:space="0" w:color="auto"/>
            <w:bottom w:val="none" w:sz="0" w:space="0" w:color="auto"/>
            <w:right w:val="none" w:sz="0" w:space="0" w:color="auto"/>
          </w:divBdr>
        </w:div>
        <w:div w:id="1644043801">
          <w:marLeft w:val="1166"/>
          <w:marRight w:val="0"/>
          <w:marTop w:val="0"/>
          <w:marBottom w:val="396"/>
          <w:divBdr>
            <w:top w:val="none" w:sz="0" w:space="0" w:color="auto"/>
            <w:left w:val="none" w:sz="0" w:space="0" w:color="auto"/>
            <w:bottom w:val="none" w:sz="0" w:space="0" w:color="auto"/>
            <w:right w:val="none" w:sz="0" w:space="0" w:color="auto"/>
          </w:divBdr>
        </w:div>
        <w:div w:id="1425035264">
          <w:marLeft w:val="1166"/>
          <w:marRight w:val="0"/>
          <w:marTop w:val="0"/>
          <w:marBottom w:val="396"/>
          <w:divBdr>
            <w:top w:val="none" w:sz="0" w:space="0" w:color="auto"/>
            <w:left w:val="none" w:sz="0" w:space="0" w:color="auto"/>
            <w:bottom w:val="none" w:sz="0" w:space="0" w:color="auto"/>
            <w:right w:val="none" w:sz="0" w:space="0" w:color="auto"/>
          </w:divBdr>
        </w:div>
      </w:divsChild>
    </w:div>
    <w:div w:id="1015767690">
      <w:bodyDiv w:val="1"/>
      <w:marLeft w:val="0"/>
      <w:marRight w:val="0"/>
      <w:marTop w:val="0"/>
      <w:marBottom w:val="0"/>
      <w:divBdr>
        <w:top w:val="none" w:sz="0" w:space="0" w:color="auto"/>
        <w:left w:val="none" w:sz="0" w:space="0" w:color="auto"/>
        <w:bottom w:val="none" w:sz="0" w:space="0" w:color="auto"/>
        <w:right w:val="none" w:sz="0" w:space="0" w:color="auto"/>
      </w:divBdr>
      <w:divsChild>
        <w:div w:id="1830631192">
          <w:marLeft w:val="965"/>
          <w:marRight w:val="0"/>
          <w:marTop w:val="120"/>
          <w:marBottom w:val="120"/>
          <w:divBdr>
            <w:top w:val="none" w:sz="0" w:space="0" w:color="auto"/>
            <w:left w:val="none" w:sz="0" w:space="0" w:color="auto"/>
            <w:bottom w:val="none" w:sz="0" w:space="0" w:color="auto"/>
            <w:right w:val="none" w:sz="0" w:space="0" w:color="auto"/>
          </w:divBdr>
        </w:div>
        <w:div w:id="1187715983">
          <w:marLeft w:val="965"/>
          <w:marRight w:val="0"/>
          <w:marTop w:val="120"/>
          <w:marBottom w:val="120"/>
          <w:divBdr>
            <w:top w:val="none" w:sz="0" w:space="0" w:color="auto"/>
            <w:left w:val="none" w:sz="0" w:space="0" w:color="auto"/>
            <w:bottom w:val="none" w:sz="0" w:space="0" w:color="auto"/>
            <w:right w:val="none" w:sz="0" w:space="0" w:color="auto"/>
          </w:divBdr>
        </w:div>
        <w:div w:id="598758141">
          <w:marLeft w:val="965"/>
          <w:marRight w:val="0"/>
          <w:marTop w:val="120"/>
          <w:marBottom w:val="120"/>
          <w:divBdr>
            <w:top w:val="none" w:sz="0" w:space="0" w:color="auto"/>
            <w:left w:val="none" w:sz="0" w:space="0" w:color="auto"/>
            <w:bottom w:val="none" w:sz="0" w:space="0" w:color="auto"/>
            <w:right w:val="none" w:sz="0" w:space="0" w:color="auto"/>
          </w:divBdr>
        </w:div>
        <w:div w:id="1492601861">
          <w:marLeft w:val="965"/>
          <w:marRight w:val="0"/>
          <w:marTop w:val="120"/>
          <w:marBottom w:val="120"/>
          <w:divBdr>
            <w:top w:val="none" w:sz="0" w:space="0" w:color="auto"/>
            <w:left w:val="none" w:sz="0" w:space="0" w:color="auto"/>
            <w:bottom w:val="none" w:sz="0" w:space="0" w:color="auto"/>
            <w:right w:val="none" w:sz="0" w:space="0" w:color="auto"/>
          </w:divBdr>
        </w:div>
        <w:div w:id="1627662320">
          <w:marLeft w:val="965"/>
          <w:marRight w:val="0"/>
          <w:marTop w:val="120"/>
          <w:marBottom w:val="120"/>
          <w:divBdr>
            <w:top w:val="none" w:sz="0" w:space="0" w:color="auto"/>
            <w:left w:val="none" w:sz="0" w:space="0" w:color="auto"/>
            <w:bottom w:val="none" w:sz="0" w:space="0" w:color="auto"/>
            <w:right w:val="none" w:sz="0" w:space="0" w:color="auto"/>
          </w:divBdr>
        </w:div>
        <w:div w:id="273440639">
          <w:marLeft w:val="965"/>
          <w:marRight w:val="0"/>
          <w:marTop w:val="120"/>
          <w:marBottom w:val="120"/>
          <w:divBdr>
            <w:top w:val="none" w:sz="0" w:space="0" w:color="auto"/>
            <w:left w:val="none" w:sz="0" w:space="0" w:color="auto"/>
            <w:bottom w:val="none" w:sz="0" w:space="0" w:color="auto"/>
            <w:right w:val="none" w:sz="0" w:space="0" w:color="auto"/>
          </w:divBdr>
        </w:div>
        <w:div w:id="1784380024">
          <w:marLeft w:val="965"/>
          <w:marRight w:val="0"/>
          <w:marTop w:val="120"/>
          <w:marBottom w:val="120"/>
          <w:divBdr>
            <w:top w:val="none" w:sz="0" w:space="0" w:color="auto"/>
            <w:left w:val="none" w:sz="0" w:space="0" w:color="auto"/>
            <w:bottom w:val="none" w:sz="0" w:space="0" w:color="auto"/>
            <w:right w:val="none" w:sz="0" w:space="0" w:color="auto"/>
          </w:divBdr>
        </w:div>
        <w:div w:id="568226966">
          <w:marLeft w:val="965"/>
          <w:marRight w:val="0"/>
          <w:marTop w:val="120"/>
          <w:marBottom w:val="120"/>
          <w:divBdr>
            <w:top w:val="none" w:sz="0" w:space="0" w:color="auto"/>
            <w:left w:val="none" w:sz="0" w:space="0" w:color="auto"/>
            <w:bottom w:val="none" w:sz="0" w:space="0" w:color="auto"/>
            <w:right w:val="none" w:sz="0" w:space="0" w:color="auto"/>
          </w:divBdr>
        </w:div>
      </w:divsChild>
    </w:div>
    <w:div w:id="1658921261">
      <w:bodyDiv w:val="1"/>
      <w:marLeft w:val="0"/>
      <w:marRight w:val="0"/>
      <w:marTop w:val="0"/>
      <w:marBottom w:val="0"/>
      <w:divBdr>
        <w:top w:val="none" w:sz="0" w:space="0" w:color="auto"/>
        <w:left w:val="none" w:sz="0" w:space="0" w:color="auto"/>
        <w:bottom w:val="none" w:sz="0" w:space="0" w:color="auto"/>
        <w:right w:val="none" w:sz="0" w:space="0" w:color="auto"/>
      </w:divBdr>
      <w:divsChild>
        <w:div w:id="1493830631">
          <w:marLeft w:val="1800"/>
          <w:marRight w:val="0"/>
          <w:marTop w:val="0"/>
          <w:marBottom w:val="360"/>
          <w:divBdr>
            <w:top w:val="none" w:sz="0" w:space="0" w:color="auto"/>
            <w:left w:val="none" w:sz="0" w:space="0" w:color="auto"/>
            <w:bottom w:val="none" w:sz="0" w:space="0" w:color="auto"/>
            <w:right w:val="none" w:sz="0" w:space="0" w:color="auto"/>
          </w:divBdr>
        </w:div>
        <w:div w:id="130444360">
          <w:marLeft w:val="1800"/>
          <w:marRight w:val="0"/>
          <w:marTop w:val="0"/>
          <w:marBottom w:val="360"/>
          <w:divBdr>
            <w:top w:val="none" w:sz="0" w:space="0" w:color="auto"/>
            <w:left w:val="none" w:sz="0" w:space="0" w:color="auto"/>
            <w:bottom w:val="none" w:sz="0" w:space="0" w:color="auto"/>
            <w:right w:val="none" w:sz="0" w:space="0" w:color="auto"/>
          </w:divBdr>
        </w:div>
        <w:div w:id="1859808746">
          <w:marLeft w:val="180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ledstudents.co.uk/not-a-choice/" TargetMode="External"/><Relationship Id="rId18" Type="http://schemas.openxmlformats.org/officeDocument/2006/relationships/hyperlink" Target="https://www.disability.admin.cam.ac.uk/student-support-documents" TargetMode="External"/><Relationship Id="rId26" Type="http://schemas.openxmlformats.org/officeDocument/2006/relationships/hyperlink" Target="https://www.vle.cam.ac.uk/course/view.php?id=88471" TargetMode="External"/><Relationship Id="rId21" Type="http://schemas.openxmlformats.org/officeDocument/2006/relationships/hyperlink" Target="https://www.educationalpolicy.admin.cam.ac.uk/supporting-students/supporting-disabled-student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dvance-he.ac.uk/knowledge-hub/disabled-students-commission-annual-report-2020-2021-enhancing-disabled-student" TargetMode="External"/><Relationship Id="rId17" Type="http://schemas.openxmlformats.org/officeDocument/2006/relationships/hyperlink" Target="https://www.disability.admin.cam.ac.uk/teaching-disabled-students/understanding-effects-impairments-study" TargetMode="External"/><Relationship Id="rId25" Type="http://schemas.openxmlformats.org/officeDocument/2006/relationships/hyperlink" Target="https://www.equalityhumanrights.com/en/publication-download/equality-act-2010-technical-guidance-further-and-higher-educ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le.cam.ac.uk/course/view.php?id=157882" TargetMode="External"/><Relationship Id="rId20" Type="http://schemas.openxmlformats.org/officeDocument/2006/relationships/hyperlink" Target="http://www.disability.admin.cam.ac.uk/" TargetMode="External"/><Relationship Id="rId29" Type="http://schemas.openxmlformats.org/officeDocument/2006/relationships/hyperlink" Target="https://www.vle.cam.ac.uk/course/view.php?id=157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ahe.org.uk/media/1039/oia-good-practice-framework-supporting-disabled-students.pdf" TargetMode="External"/><Relationship Id="rId24" Type="http://schemas.openxmlformats.org/officeDocument/2006/relationships/hyperlink" Target="http://odi.dwp.gov.uk/docs/wor/new/ea-guide.pdf"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disability.admin.cam.ac.uk/staff-supporting-disabled-students/teaching-disabled-students/inclusive-teaching" TargetMode="External"/><Relationship Id="rId23" Type="http://schemas.openxmlformats.org/officeDocument/2006/relationships/hyperlink" Target="http://www.ecu.ac.uk/publications/managing-reasonable-adjustments-in-higher-education" TargetMode="External"/><Relationship Id="rId28" Type="http://schemas.openxmlformats.org/officeDocument/2006/relationships/hyperlink" Target="https://www.vle.cam.ac.uk/course/view.php?id=157882" TargetMode="External"/><Relationship Id="rId36" Type="http://schemas.openxmlformats.org/officeDocument/2006/relationships/customXml" Target="../customXml/item2.xml"/><Relationship Id="rId10" Type="http://schemas.openxmlformats.org/officeDocument/2006/relationships/hyperlink" Target="https://www.qaa.ac.uk/quality-code" TargetMode="External"/><Relationship Id="rId19" Type="http://schemas.openxmlformats.org/officeDocument/2006/relationships/hyperlink" Target="https://www.vle.cam.ac.uk/course/view.php?id=23126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inclusive-teaching-and-learning-in-higher-education" TargetMode="External"/><Relationship Id="rId14" Type="http://schemas.openxmlformats.org/officeDocument/2006/relationships/hyperlink" Target="https://www.educationalpolicy.admin.cam.ac.uk/files/disabled_cop_21-22.pdf" TargetMode="External"/><Relationship Id="rId22" Type="http://schemas.openxmlformats.org/officeDocument/2006/relationships/hyperlink" Target="https://www.educationalpolicy.admin.cam.ac.uk/supporting-students/supporting-disabled-students" TargetMode="External"/><Relationship Id="rId27" Type="http://schemas.openxmlformats.org/officeDocument/2006/relationships/hyperlink" Target="https://www.vle.cam.ac.uk/course/view.php?id=88471" TargetMode="External"/><Relationship Id="rId30" Type="http://schemas.openxmlformats.org/officeDocument/2006/relationships/hyperlink" Target="https://www.disability.admin.cam.ac.uk/teaching-disabled-students" TargetMode="External"/><Relationship Id="rId35" Type="http://schemas.openxmlformats.org/officeDocument/2006/relationships/theme" Target="theme/theme1.xml"/><Relationship Id="rId8" Type="http://schemas.openxmlformats.org/officeDocument/2006/relationships/hyperlink" Target="https://www.advance-he.ac.uk/knowledge-hub/disabled-students-commission-annual-report-2020-2021-enhancing-disabled-studen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0B"/>
    <w:rsid w:val="0020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0360EB3DDE482793E9C626D15FA72E">
    <w:name w:val="CD0360EB3DDE482793E9C626D15FA72E"/>
    <w:rsid w:val="00201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195C136F6B06429DFA83880AF7270F" ma:contentTypeVersion="16" ma:contentTypeDescription="Create a new document." ma:contentTypeScope="" ma:versionID="5ee3cf8bf5969d2573ef7230a9a287e0">
  <xsd:schema xmlns:xsd="http://www.w3.org/2001/XMLSchema" xmlns:xs="http://www.w3.org/2001/XMLSchema" xmlns:p="http://schemas.microsoft.com/office/2006/metadata/properties" xmlns:ns2="da569b38-1af6-48fd-92c6-4f9859d51ce4" xmlns:ns3="4802f5d8-eb31-4047-8075-bf0e2351b4f3" targetNamespace="http://schemas.microsoft.com/office/2006/metadata/properties" ma:root="true" ma:fieldsID="948d37017bb98f380a0e5fee9eed4bb9" ns2:_="" ns3:_="">
    <xsd:import namespace="da569b38-1af6-48fd-92c6-4f9859d51ce4"/>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9b38-1af6-48fd-92c6-4f9859d5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5AAE8-E329-41DA-9F41-399163446A6B}" ma:internalName="TaxCatchAll" ma:showField="CatchAllData" ma:web="{12440499-71f6-4145-a1fc-25647ef31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AB0BD-285F-4BBF-A94C-61519024E9BD}">
  <ds:schemaRefs>
    <ds:schemaRef ds:uri="http://schemas.openxmlformats.org/officeDocument/2006/bibliography"/>
  </ds:schemaRefs>
</ds:datastoreItem>
</file>

<file path=customXml/itemProps2.xml><?xml version="1.0" encoding="utf-8"?>
<ds:datastoreItem xmlns:ds="http://schemas.openxmlformats.org/officeDocument/2006/customXml" ds:itemID="{EBCFB277-9001-4057-90EC-C65D067577A4}"/>
</file>

<file path=customXml/itemProps3.xml><?xml version="1.0" encoding="utf-8"?>
<ds:datastoreItem xmlns:ds="http://schemas.openxmlformats.org/officeDocument/2006/customXml" ds:itemID="{82159EBA-7F22-43D5-8264-A4B4BF63725D}"/>
</file>

<file path=docProps/app.xml><?xml version="1.0" encoding="utf-8"?>
<Properties xmlns="http://schemas.openxmlformats.org/officeDocument/2006/extended-properties" xmlns:vt="http://schemas.openxmlformats.org/officeDocument/2006/docPropsVTypes">
  <Template>Normal.dotm</Template>
  <TotalTime>71</TotalTime>
  <Pages>3</Pages>
  <Words>926</Words>
  <Characters>8071</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Harding</dc:creator>
  <cp:lastModifiedBy>John Harding</cp:lastModifiedBy>
  <cp:revision>5</cp:revision>
  <dcterms:created xsi:type="dcterms:W3CDTF">2022-08-01T16:35:00Z</dcterms:created>
  <dcterms:modified xsi:type="dcterms:W3CDTF">2022-08-12T10:30:00Z</dcterms:modified>
</cp:coreProperties>
</file>